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ind w:firstLine="0" w:firstLineChars="0"/>
        <w:jc w:val="left"/>
        <w:rPr>
          <w:rFonts w:ascii="Times New Roman" w:hAnsi="Times New Roman" w:eastAsia="方正黑体_GBK"/>
        </w:rPr>
      </w:pPr>
      <w:r>
        <w:rPr>
          <w:rFonts w:ascii="Times New Roman" w:hAnsi="Times New Roman" w:eastAsia="方正黑体_GBK"/>
        </w:rPr>
        <w:t>附件</w:t>
      </w:r>
    </w:p>
    <w:p>
      <w:pPr>
        <w:pStyle w:val="9"/>
        <w:spacing w:after="0" w:line="480" w:lineRule="exact"/>
        <w:ind w:left="0" w:leftChars="0" w:firstLine="0" w:firstLineChars="0"/>
        <w:jc w:val="center"/>
        <w:rPr>
          <w:rFonts w:hint="eastAsia" w:ascii="Times New Roman" w:hAnsi="Times New Roman" w:eastAsia="方正小标宋简体" w:cs="方正小标宋简体"/>
          <w:sz w:val="44"/>
        </w:rPr>
      </w:pPr>
      <w:r>
        <w:rPr>
          <w:rFonts w:hint="eastAsia" w:eastAsia="方正小标宋简体" w:cs="方正小标宋简体"/>
          <w:sz w:val="44"/>
          <w:lang w:eastAsia="zh-CN"/>
        </w:rPr>
        <w:t>常德市科学技术局</w:t>
      </w:r>
      <w:r>
        <w:rPr>
          <w:rFonts w:hint="eastAsia" w:ascii="Times New Roman" w:hAnsi="Times New Roman" w:eastAsia="方正小标宋简体" w:cs="方正小标宋简体"/>
          <w:sz w:val="44"/>
        </w:rPr>
        <w:t>2026年度涉企行政检查计划</w:t>
      </w:r>
    </w:p>
    <w:p>
      <w:pPr>
        <w:keepNext w:val="0"/>
        <w:keepLines w:val="0"/>
        <w:pageBreakBefore w:val="0"/>
        <w:widowControl w:val="0"/>
        <w:kinsoku/>
        <w:wordWrap/>
        <w:overflowPunct/>
        <w:topLinePunct w:val="0"/>
        <w:autoSpaceDE/>
        <w:autoSpaceDN/>
        <w:bidi w:val="0"/>
        <w:adjustRightInd/>
        <w:snapToGrid/>
        <w:spacing w:before="292" w:beforeLines="50" w:after="160" w:line="440" w:lineRule="exact"/>
        <w:ind w:left="0" w:leftChars="0" w:right="0" w:rightChars="0" w:firstLine="0" w:firstLineChars="0"/>
        <w:jc w:val="left"/>
        <w:textAlignment w:val="auto"/>
        <w:outlineLvl w:val="9"/>
        <w:rPr>
          <w:rFonts w:hint="default" w:ascii="Times New Roman" w:hAnsi="Times New Roman" w:eastAsia="方正小标宋简体" w:cs="方正小标宋简体"/>
          <w:sz w:val="44"/>
          <w:lang w:val="en-US"/>
        </w:rPr>
      </w:pPr>
      <w:r>
        <w:rPr>
          <w:rFonts w:hint="eastAsia" w:ascii="Times New Roman" w:hAnsi="Times New Roman" w:eastAsia="楷体_GB2312"/>
          <w:kern w:val="0"/>
          <w:sz w:val="28"/>
          <w:szCs w:val="28"/>
        </w:rPr>
        <w:t>填报单位（盖章）：</w:t>
      </w:r>
      <w:r>
        <w:rPr>
          <w:rFonts w:hint="eastAsia" w:eastAsia="楷体_GB2312"/>
          <w:kern w:val="0"/>
          <w:sz w:val="28"/>
          <w:szCs w:val="28"/>
          <w:lang w:eastAsia="zh-CN"/>
        </w:rPr>
        <w:t>常德市科学技术局</w:t>
      </w:r>
      <w:r>
        <w:rPr>
          <w:rFonts w:hint="eastAsia" w:ascii="Times New Roman" w:hAnsi="Times New Roman" w:eastAsia="楷体_GB2312"/>
          <w:kern w:val="0"/>
          <w:sz w:val="28"/>
          <w:szCs w:val="28"/>
          <w:lang w:val="en-US" w:eastAsia="zh-CN"/>
        </w:rPr>
        <w:t xml:space="preserve">                              </w:t>
      </w:r>
      <w:r>
        <w:rPr>
          <w:rFonts w:hint="eastAsia" w:ascii="Times New Roman" w:hAnsi="Times New Roman" w:eastAsia="楷体_GB2312"/>
          <w:kern w:val="0"/>
          <w:sz w:val="28"/>
          <w:szCs w:val="28"/>
        </w:rPr>
        <w:t>联系人及联系电话：</w:t>
      </w:r>
      <w:r>
        <w:rPr>
          <w:rFonts w:hint="eastAsia" w:eastAsia="楷体" w:cs="Times New Roman"/>
          <w:kern w:val="0"/>
          <w:sz w:val="28"/>
          <w:szCs w:val="28"/>
          <w:lang w:eastAsia="zh-CN"/>
        </w:rPr>
        <w:t>吴军</w:t>
      </w:r>
      <w:r>
        <w:rPr>
          <w:rFonts w:hint="default" w:eastAsia="楷体" w:cs="Times New Roman"/>
          <w:kern w:val="0"/>
          <w:sz w:val="28"/>
          <w:szCs w:val="28"/>
          <w:lang w:val="en-US" w:eastAsia="zh-CN"/>
        </w:rPr>
        <w:t xml:space="preserve">  </w:t>
      </w:r>
      <w:r>
        <w:rPr>
          <w:rFonts w:hint="default" w:ascii="Times New Roman" w:hAnsi="Times New Roman" w:eastAsia="楷体" w:cs="Times New Roman"/>
          <w:kern w:val="0"/>
          <w:sz w:val="28"/>
          <w:szCs w:val="28"/>
          <w:lang w:val="en-US" w:eastAsia="zh-CN"/>
        </w:rPr>
        <w:t>073</w:t>
      </w:r>
      <w:r>
        <w:rPr>
          <w:rFonts w:hint="eastAsia" w:eastAsia="楷体" w:cs="Times New Roman"/>
          <w:kern w:val="0"/>
          <w:sz w:val="28"/>
          <w:szCs w:val="28"/>
          <w:lang w:val="en-US" w:eastAsia="zh-CN"/>
        </w:rPr>
        <w:t>6</w:t>
      </w:r>
      <w:r>
        <w:rPr>
          <w:rFonts w:hint="default" w:ascii="Times New Roman" w:hAnsi="Times New Roman" w:eastAsia="楷体" w:cs="Times New Roman"/>
          <w:kern w:val="0"/>
          <w:sz w:val="28"/>
          <w:szCs w:val="28"/>
          <w:lang w:val="en-US" w:eastAsia="zh-CN"/>
        </w:rPr>
        <w:t>-</w:t>
      </w:r>
      <w:r>
        <w:rPr>
          <w:rFonts w:hint="eastAsia" w:eastAsia="楷体" w:cs="Times New Roman"/>
          <w:kern w:val="0"/>
          <w:sz w:val="28"/>
          <w:szCs w:val="28"/>
          <w:lang w:val="en-US" w:eastAsia="zh-CN"/>
        </w:rPr>
        <w:t>7256052</w:t>
      </w:r>
    </w:p>
    <w:tbl>
      <w:tblPr>
        <w:tblStyle w:val="24"/>
        <w:tblW w:w="15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840"/>
        <w:gridCol w:w="4542"/>
        <w:gridCol w:w="1605"/>
        <w:gridCol w:w="1683"/>
        <w:gridCol w:w="795"/>
        <w:gridCol w:w="967"/>
        <w:gridCol w:w="793"/>
        <w:gridCol w:w="707"/>
        <w:gridCol w:w="890"/>
        <w:gridCol w:w="1440"/>
        <w:gridCol w:w="6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blHeader/>
          <w:jc w:val="center"/>
        </w:trPr>
        <w:tc>
          <w:tcPr>
            <w:tcW w:w="435"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序号</w:t>
            </w:r>
          </w:p>
        </w:tc>
        <w:tc>
          <w:tcPr>
            <w:tcW w:w="840"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检查事项</w:t>
            </w:r>
          </w:p>
        </w:tc>
        <w:tc>
          <w:tcPr>
            <w:tcW w:w="4542"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实施依据</w:t>
            </w:r>
          </w:p>
        </w:tc>
        <w:tc>
          <w:tcPr>
            <w:tcW w:w="1605"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检查对象或抽查对象（含范围、数量或比例）</w:t>
            </w:r>
          </w:p>
        </w:tc>
        <w:tc>
          <w:tcPr>
            <w:tcW w:w="1683"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检查内容</w:t>
            </w:r>
          </w:p>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（项目）</w:t>
            </w:r>
          </w:p>
        </w:tc>
        <w:tc>
          <w:tcPr>
            <w:tcW w:w="795"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拟实施检查时间</w:t>
            </w:r>
          </w:p>
        </w:tc>
        <w:tc>
          <w:tcPr>
            <w:tcW w:w="967"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检查</w:t>
            </w:r>
          </w:p>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方式</w:t>
            </w:r>
          </w:p>
        </w:tc>
        <w:tc>
          <w:tcPr>
            <w:tcW w:w="793"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检查事项类型</w:t>
            </w:r>
          </w:p>
        </w:tc>
        <w:tc>
          <w:tcPr>
            <w:tcW w:w="707"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年度检查频次</w:t>
            </w:r>
          </w:p>
        </w:tc>
        <w:tc>
          <w:tcPr>
            <w:tcW w:w="890"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承办</w:t>
            </w:r>
          </w:p>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机构</w:t>
            </w:r>
          </w:p>
        </w:tc>
        <w:tc>
          <w:tcPr>
            <w:tcW w:w="1440"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2"/>
                <w:szCs w:val="22"/>
              </w:rPr>
              <w:t>是否属跨部门联合检查（如是，需写明牵头部门和配合部门）</w:t>
            </w:r>
          </w:p>
        </w:tc>
        <w:tc>
          <w:tcPr>
            <w:tcW w:w="626"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ascii="Times New Roman" w:hAnsi="Times New Roman" w:eastAsia="黑体"/>
                <w:kern w:val="0"/>
                <w:sz w:val="24"/>
                <w:szCs w:val="24"/>
              </w:rPr>
            </w:pPr>
            <w:r>
              <w:rPr>
                <w:rFonts w:ascii="Times New Roman" w:hAnsi="Times New Roman" w:eastAsia="黑体"/>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0" w:hRule="atLeast"/>
          <w:jc w:val="center"/>
        </w:trPr>
        <w:tc>
          <w:tcPr>
            <w:tcW w:w="435"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472" w:firstLineChars="200"/>
              <w:jc w:val="center"/>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840"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center"/>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对实验动物生产、使用活动的日常监督检查</w:t>
            </w:r>
          </w:p>
        </w:tc>
        <w:tc>
          <w:tcPr>
            <w:tcW w:w="4542"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right="0" w:rightChars="0" w:firstLine="0" w:firstLineChars="0"/>
              <w:jc w:val="left"/>
              <w:textAlignment w:val="center"/>
              <w:outlineLvl w:val="9"/>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1.《实验动物管理条例》（2017年3月第三次修订）第五条 国家科学技术委员会主管全国实验动物工作。省、自治区、直辖市科学技术委员会主管本地区的实验动物工作。国务院各有关部门负责管理本部门的实验动物工作。第六条国家实行实验动物的质量监督和质量合格认证制度。具体办法由国家科学技术委员会另行制定。</w:t>
            </w:r>
          </w:p>
          <w:p>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right="0" w:rightChars="0" w:firstLine="0" w:firstLineChars="0"/>
              <w:jc w:val="left"/>
              <w:textAlignment w:val="center"/>
              <w:outlineLvl w:val="9"/>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 xml:space="preserve">2.《湖南省实验动物管理条例》（2024年7月公布）第六条 第一款 从事实验动物工作的单位和个人，应当按照国家和省有关规定取得省人民政府科学技术主管部门颁发的实验动物许可证。实验动物许可证包括实验动物生产许可证和实验动物使用许可证。第十七条 县级以上人民政府科学技术主管部门应当加强对实验动物生产、使用活动的日常监督检查。任何单位和个人发现违法从事实验动物生产、使用等活动的行为，有权向科学技术主管部门举报；科学技术主管部门收到举报后应当依法及时核实、处理。                                                   </w:t>
            </w:r>
          </w:p>
          <w:p>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right="0" w:rightChars="0" w:firstLine="0" w:firstLineChars="0"/>
              <w:jc w:val="left"/>
              <w:textAlignment w:val="center"/>
              <w:outlineLvl w:val="9"/>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3.中华人民共和国国家科学技术委员会关于印发《实验动物质量管理办法》的通知（国科发财字〔1997〕593号）第九条 第一款 实验动物生产和使用，实行许可证制度。实验动物生产和使用单位，必须取得许可证。第十二条 实验动物生产、使用许可证的申请、审批，按照以下程序执行。各申请许可证的单位可向所在省（自治区、直辖市）科委提交申请书，并附上由国家认可的检测机构出具的检测报告及相关资料。检测机构，可由各申请单位自行选择。各省（自治区、直辖市）科委负责受理许可证申请，并进行考核和审批。凡通过批准的，由国家科委授权省（自治区、直辖市）科委发给实验动物生产许可证或实验动物使用许可证。实验动物生产许可证和实验动物使用许可证由国家科委统一制定，全国有效。第十三条 取得许可证的单位，必须接受每年的复查。复查合格者，许可证继续有效；任何一项条件复查不合格的，限期三个月进行整改，并接受再次复查。如仍不合格，取消其实验动物生产或使用资格，由发证部门收回许可证。但在条件具备时，可重新提出申请。第十四条 对实验动物生产、使用单位的每年复查，由省（自治区、直辖市）科委组织实施。每年的复查结果报国家科委备案。</w:t>
            </w:r>
          </w:p>
          <w:p>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right="0" w:rightChars="0" w:firstLine="0" w:firstLineChars="0"/>
              <w:jc w:val="left"/>
              <w:textAlignment w:val="center"/>
              <w:outlineLvl w:val="9"/>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4.科学技术部、卫生部、教育部、农业</w:t>
            </w:r>
            <w:r>
              <w:rPr>
                <w:rFonts w:hint="eastAsia" w:eastAsia="仿宋_GB2312" w:cs="仿宋_GB2312"/>
                <w:i w:val="0"/>
                <w:iCs w:val="0"/>
                <w:color w:val="000000"/>
                <w:kern w:val="0"/>
                <w:sz w:val="24"/>
                <w:szCs w:val="24"/>
                <w:u w:val="none"/>
                <w:lang w:val="en-US" w:eastAsia="zh-CN" w:bidi="ar"/>
              </w:rPr>
              <w:t>农</w:t>
            </w:r>
            <w:bookmarkStart w:id="0" w:name="_GoBack"/>
            <w:bookmarkEnd w:id="0"/>
            <w:r>
              <w:rPr>
                <w:rFonts w:hint="eastAsia" w:eastAsia="仿宋_GB2312" w:cs="仿宋_GB2312"/>
                <w:i w:val="0"/>
                <w:iCs w:val="0"/>
                <w:color w:val="000000"/>
                <w:kern w:val="0"/>
                <w:sz w:val="24"/>
                <w:szCs w:val="24"/>
                <w:u w:val="none"/>
                <w:lang w:val="en-US" w:eastAsia="zh-CN" w:bidi="ar"/>
              </w:rPr>
              <w:t>村</w:t>
            </w:r>
            <w:r>
              <w:rPr>
                <w:rFonts w:hint="eastAsia" w:ascii="Times New Roman" w:hAnsi="Times New Roman" w:eastAsia="仿宋_GB2312" w:cs="仿宋_GB2312"/>
                <w:i w:val="0"/>
                <w:iCs w:val="0"/>
                <w:color w:val="000000"/>
                <w:kern w:val="0"/>
                <w:sz w:val="24"/>
                <w:szCs w:val="24"/>
                <w:u w:val="none"/>
                <w:lang w:val="en-US" w:eastAsia="zh-CN" w:bidi="ar"/>
              </w:rPr>
              <w:t>部、国家质量监督检验检疫总局、国家中医药管理局、中国人民解放军总后勤部卫生部关于发布《实验动物许可证管理办法（试行）》（国科发财字〔2001〕545号）第三条 第一款 第二款 第三款 实验动物许可证包括实验动物生产许可证和实验动物使用许可证。实验动物生产许可证，适用于从事实验动物及相关产品保种、繁育、生产、供应、运输及有关商业性经营的组织和个人。实验动物使用许可证适用于使用实验动物及相关产品进行科学研究和实验的组织和个人。许可证由各省、自治区、直辖市科技厅（科委、局）印制、发放和管理。第八条 省、自治区、直辖市科技厅（科委、局）负责受理许可证申请，并进行考核和审批。各省、自治区、直辖市科技厅（科委、局）受理申请后，应组织专家组对申请单位的申请材料及实际情况进行审查和现场验收，出具专家组验收报告。对申请生产许可证的单位，其生产用的实验动物种子须按照《关于当前许可证发放过程中有关实验动物种子问题的处理意见》（国科财字〔1999〕044号）进行确认。省、自治区、直辖市科技厅（科委、局）在受理申请后的三个月内给出相应的评审结果。合格者由省、自治区、直辖市科技厅（科委、局）签发批准实验动物生产或使用许可证的文件，发放许可证。</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both"/>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湖南省内持有有效期内实验动物生产许可证、实验动物使用许可证的企业。按企业总数30%比例抽取进行现场检查，100%完成自查（提交自查报告）。</w:t>
            </w:r>
          </w:p>
        </w:tc>
        <w:tc>
          <w:tcPr>
            <w:tcW w:w="1683"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both"/>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1.运营管理监督检查。包括（实验动物设施运行维护、实验动物从业人员健康体检、实验动物福利伦理审查情况等）。</w:t>
            </w:r>
          </w:p>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both"/>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2.质量管理监督检查。包括（实验动物质量自检、实验动物环境设施质量自检情况等）。</w:t>
            </w:r>
          </w:p>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both"/>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3.安全管理监督检查。包括（实验动物尸体及废弃物无害化处理、高温高压设备年检及操作人员持证、实验动物生物安全事件应急预案制定及执行情况等）。</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left"/>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2026</w:t>
            </w:r>
            <w:r>
              <w:rPr>
                <w:rFonts w:hint="eastAsia" w:ascii="Times New Roman" w:hAnsi="Times New Roman" w:eastAsia="仿宋_GB2312" w:cs="仿宋_GB2312"/>
                <w:i w:val="0"/>
                <w:iCs w:val="0"/>
                <w:color w:val="000000"/>
                <w:spacing w:val="-17"/>
                <w:kern w:val="0"/>
                <w:sz w:val="24"/>
                <w:szCs w:val="24"/>
                <w:u w:val="none"/>
                <w:lang w:val="en-US" w:eastAsia="zh-CN" w:bidi="ar"/>
              </w:rPr>
              <w:t>年10月-12月</w:t>
            </w:r>
            <w:r>
              <w:rPr>
                <w:rFonts w:hint="eastAsia" w:eastAsia="仿宋_GB2312" w:cs="仿宋_GB2312"/>
                <w:i w:val="0"/>
                <w:iCs w:val="0"/>
                <w:color w:val="000000"/>
                <w:spacing w:val="-17"/>
                <w:kern w:val="0"/>
                <w:sz w:val="24"/>
                <w:szCs w:val="24"/>
                <w:u w:val="none"/>
                <w:lang w:val="en-US" w:eastAsia="zh-CN" w:bidi="ar"/>
              </w:rPr>
              <w:t>由省科技厅牵头实施，市科技局按照要求参加</w:t>
            </w:r>
          </w:p>
        </w:tc>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260" w:lineRule="exact"/>
              <w:ind w:left="0" w:leftChars="0" w:right="0" w:rightChars="0" w:firstLine="0" w:firstLineChars="0"/>
              <w:jc w:val="both"/>
              <w:textAlignment w:val="center"/>
              <w:outlineLvl w:val="9"/>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spacing w:val="-17"/>
                <w:kern w:val="0"/>
                <w:sz w:val="24"/>
                <w:szCs w:val="24"/>
                <w:u w:val="none"/>
                <w:lang w:val="en-US" w:eastAsia="zh-CN" w:bidi="ar"/>
              </w:rPr>
              <w:t>现场检查和非现场检查相结合。非现场检查要求100%企业提交自查报告，现场检查按企业总数30%抽取。</w:t>
            </w:r>
          </w:p>
        </w:tc>
        <w:tc>
          <w:tcPr>
            <w:tcW w:w="793"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left"/>
              <w:textAlignment w:val="center"/>
              <w:rPr>
                <w:rFonts w:ascii="Times New Roman" w:hAnsi="Times New Roman" w:eastAsia="仿宋_GB2312"/>
                <w:b/>
                <w:bCs/>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一般检查事项</w:t>
            </w:r>
          </w:p>
        </w:tc>
        <w:tc>
          <w:tcPr>
            <w:tcW w:w="707"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center"/>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1次/年</w:t>
            </w:r>
          </w:p>
        </w:tc>
        <w:tc>
          <w:tcPr>
            <w:tcW w:w="890"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left"/>
              <w:textAlignment w:val="center"/>
              <w:rPr>
                <w:rFonts w:ascii="Times New Roman" w:hAnsi="Times New Roman" w:eastAsia="仿宋_GB2312"/>
                <w:kern w:val="0"/>
                <w:sz w:val="24"/>
                <w:szCs w:val="24"/>
              </w:rPr>
            </w:pPr>
            <w:r>
              <w:rPr>
                <w:rFonts w:hint="eastAsia" w:eastAsia="仿宋_GB2312" w:cs="仿宋_GB2312"/>
                <w:i w:val="0"/>
                <w:iCs w:val="0"/>
                <w:color w:val="000000"/>
                <w:kern w:val="0"/>
                <w:sz w:val="24"/>
                <w:szCs w:val="24"/>
                <w:u w:val="none"/>
                <w:lang w:val="en-US" w:eastAsia="zh-CN" w:bidi="ar"/>
              </w:rPr>
              <w:t>常德市科学技术局平台科</w:t>
            </w:r>
          </w:p>
        </w:tc>
        <w:tc>
          <w:tcPr>
            <w:tcW w:w="1440"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center"/>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否</w:t>
            </w:r>
          </w:p>
        </w:tc>
        <w:tc>
          <w:tcPr>
            <w:tcW w:w="626"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jc w:val="center"/>
              <w:rPr>
                <w:rFonts w:ascii="Times New Roman" w:hAnsi="Times New Roman" w:eastAsia="方正黑体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435"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472" w:firstLineChars="200"/>
              <w:jc w:val="center"/>
              <w:textAlignment w:val="center"/>
              <w:rPr>
                <w:rFonts w:hint="default" w:ascii="Times New Roman" w:hAnsi="Times New Roman" w:eastAsia="仿宋_GB2312"/>
                <w:kern w:val="0"/>
                <w:sz w:val="24"/>
                <w:szCs w:val="24"/>
                <w:lang w:val="en-US"/>
              </w:rPr>
            </w:pPr>
            <w:r>
              <w:rPr>
                <w:rFonts w:hint="eastAsia" w:ascii="Times New Roman" w:hAnsi="Times New Roman" w:eastAsia="仿宋_GB2312" w:cs="仿宋_GB2312"/>
                <w:i w:val="0"/>
                <w:iCs w:val="0"/>
                <w:color w:val="000000"/>
                <w:kern w:val="0"/>
                <w:sz w:val="24"/>
                <w:szCs w:val="24"/>
                <w:u w:val="none"/>
                <w:lang w:val="en-US" w:eastAsia="zh-CN" w:bidi="ar"/>
              </w:rPr>
              <w:t>22</w:t>
            </w:r>
          </w:p>
        </w:tc>
        <w:tc>
          <w:tcPr>
            <w:tcW w:w="840"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center"/>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对采集、保藏、利用、对外提供人类遗传资源活动各环节的监督检查</w:t>
            </w:r>
          </w:p>
        </w:tc>
        <w:tc>
          <w:tcPr>
            <w:tcW w:w="4542"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left"/>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《中华人民共和国人类遗传资源管理条例》（2024年3月修订）第四条 第二款 省、自治区、直辖市人民政府人类遗传资源主管部门负责本行政区域人类遗传资源管理工作。第三十三条 国务院卫生健康主管部门和省、自治区、直辖市人民政府人类遗传资源主管部门应当加强对采集、保藏、利用、对外提供人类遗传资源活动各环节的监督检查，发现违反本条例规定的，及时依法予以处理并向社会公布检查、处理结果。第三十四条　国务院卫生健康主管部门和省、自治区、直辖市人民政府人类遗传资源主管部门进行监督检查，可以采取下列措施：（一）进入现场检查；（二）询问相关人员；（三）查阅、复制有关资料；（四）查封、扣押有关人类遗传资源。2.《人类遗传资源管理条例实施细则》第四条  省、自治区、直辖市科学技术厅（委、局）、新疆生产建设兵团科学技术局（以下称省级科技行政部门）负责本区域下列人类遗传资源管理工作：（一）人类遗传资源监督检查与日常管理；（二）职权范围内的人类遗传资源违法案件调查处理；（三）根据科技部委托，开展本区域人类遗传资源调查、人类遗传资源行政许可、人类遗传资源违法案件调查处理等工作。</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both"/>
              <w:textAlignment w:val="center"/>
              <w:rPr>
                <w:rFonts w:ascii="Times New Roman" w:hAnsi="Times New Roman" w:eastAsia="仿宋_GB2312"/>
                <w:kern w:val="0"/>
                <w:sz w:val="24"/>
                <w:szCs w:val="24"/>
              </w:rPr>
            </w:pPr>
            <w:r>
              <w:rPr>
                <w:rFonts w:hint="eastAsia" w:eastAsia="仿宋_GB2312" w:cs="仿宋_GB2312"/>
                <w:i w:val="0"/>
                <w:iCs w:val="0"/>
                <w:color w:val="000000"/>
                <w:kern w:val="0"/>
                <w:sz w:val="24"/>
                <w:szCs w:val="24"/>
                <w:u w:val="none"/>
                <w:lang w:val="en-US" w:eastAsia="zh-CN" w:bidi="ar"/>
              </w:rPr>
              <w:t>常德市</w:t>
            </w:r>
            <w:r>
              <w:rPr>
                <w:rFonts w:hint="eastAsia" w:ascii="Times New Roman" w:hAnsi="Times New Roman" w:eastAsia="仿宋_GB2312" w:cs="仿宋_GB2312"/>
                <w:i w:val="0"/>
                <w:iCs w:val="0"/>
                <w:color w:val="000000"/>
                <w:kern w:val="0"/>
                <w:sz w:val="24"/>
                <w:szCs w:val="24"/>
                <w:u w:val="none"/>
                <w:lang w:val="en-US" w:eastAsia="zh-CN" w:bidi="ar"/>
              </w:rPr>
              <w:t>内具有人类遗传资源管理采集、保藏、利用、对外提供人类遗传资源活动资质的企业进行现场检查。</w:t>
            </w:r>
          </w:p>
        </w:tc>
        <w:tc>
          <w:tcPr>
            <w:tcW w:w="1683"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left"/>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结合工作实际抽取具有人类遗传资源管理相关资质的企业，对采集、保藏、利用、对外提供人类遗传资源活动各环节开展监督检查。</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left"/>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2026年9月</w:t>
            </w:r>
            <w:r>
              <w:rPr>
                <w:rFonts w:hint="eastAsia" w:eastAsia="仿宋_GB2312" w:cs="仿宋_GB2312"/>
                <w:i w:val="0"/>
                <w:iCs w:val="0"/>
                <w:color w:val="000000"/>
                <w:kern w:val="0"/>
                <w:sz w:val="24"/>
                <w:szCs w:val="24"/>
                <w:u w:val="none"/>
                <w:lang w:val="en-US" w:eastAsia="zh-CN" w:bidi="ar"/>
              </w:rPr>
              <w:t>由省科技厅牵头实施,市科技局按照要求参加</w:t>
            </w:r>
          </w:p>
        </w:tc>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both"/>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现场检查</w:t>
            </w:r>
          </w:p>
        </w:tc>
        <w:tc>
          <w:tcPr>
            <w:tcW w:w="793"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left"/>
              <w:textAlignment w:val="center"/>
              <w:rPr>
                <w:rFonts w:ascii="Times New Roman" w:hAnsi="Times New Roman" w:eastAsia="仿宋_GB2312"/>
                <w:b/>
                <w:bCs/>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一般</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检查事项</w:t>
            </w:r>
          </w:p>
        </w:tc>
        <w:tc>
          <w:tcPr>
            <w:tcW w:w="707"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center"/>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1次/年</w:t>
            </w:r>
          </w:p>
        </w:tc>
        <w:tc>
          <w:tcPr>
            <w:tcW w:w="890"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left"/>
              <w:textAlignment w:val="center"/>
              <w:rPr>
                <w:rFonts w:hint="eastAsia" w:ascii="Times New Roman" w:hAnsi="Times New Roman" w:eastAsia="仿宋_GB2312"/>
                <w:kern w:val="0"/>
                <w:sz w:val="24"/>
                <w:szCs w:val="24"/>
                <w:lang w:eastAsia="zh-CN"/>
              </w:rPr>
            </w:pPr>
            <w:r>
              <w:rPr>
                <w:rFonts w:hint="eastAsia" w:eastAsia="仿宋_GB2312"/>
                <w:kern w:val="0"/>
                <w:sz w:val="24"/>
                <w:szCs w:val="24"/>
                <w:lang w:eastAsia="zh-CN"/>
              </w:rPr>
              <w:t>常德市科学技术局科技安全与发展科</w:t>
            </w:r>
          </w:p>
        </w:tc>
        <w:tc>
          <w:tcPr>
            <w:tcW w:w="1440"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00" w:lineRule="exact"/>
              <w:ind w:left="0" w:leftChars="0" w:right="0" w:rightChars="0" w:firstLine="0" w:firstLineChars="0"/>
              <w:jc w:val="center"/>
              <w:textAlignment w:val="center"/>
              <w:rPr>
                <w:rFonts w:ascii="Times New Roman" w:hAnsi="Times New Roman" w:eastAsia="仿宋_GB2312"/>
                <w:kern w:val="0"/>
                <w:sz w:val="24"/>
                <w:szCs w:val="24"/>
              </w:rPr>
            </w:pPr>
            <w:r>
              <w:rPr>
                <w:rFonts w:hint="eastAsia" w:ascii="Times New Roman" w:hAnsi="Times New Roman" w:eastAsia="仿宋_GB2312" w:cs="仿宋_GB2312"/>
                <w:i w:val="0"/>
                <w:iCs w:val="0"/>
                <w:color w:val="000000"/>
                <w:kern w:val="0"/>
                <w:sz w:val="24"/>
                <w:szCs w:val="24"/>
                <w:u w:val="none"/>
                <w:lang w:val="en-US" w:eastAsia="zh-CN" w:bidi="ar"/>
              </w:rPr>
              <w:t>否</w:t>
            </w:r>
          </w:p>
        </w:tc>
        <w:tc>
          <w:tcPr>
            <w:tcW w:w="626" w:type="dxa"/>
            <w:vAlign w:val="center"/>
          </w:tcPr>
          <w:p>
            <w:pPr>
              <w:keepNext w:val="0"/>
              <w:keepLines w:val="0"/>
              <w:pageBreakBefore w:val="0"/>
              <w:widowControl/>
              <w:kinsoku/>
              <w:wordWrap/>
              <w:overflowPunct/>
              <w:topLinePunct w:val="0"/>
              <w:autoSpaceDE/>
              <w:autoSpaceDN/>
              <w:bidi w:val="0"/>
              <w:adjustRightInd/>
              <w:snapToGrid/>
              <w:spacing w:after="0" w:line="300" w:lineRule="exact"/>
              <w:ind w:left="0" w:leftChars="0" w:right="0" w:rightChars="0"/>
              <w:jc w:val="center"/>
              <w:rPr>
                <w:rFonts w:ascii="Times New Roman" w:hAnsi="Times New Roman" w:eastAsia="方正黑体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435"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20" w:lineRule="exact"/>
              <w:ind w:left="0" w:leftChars="0" w:right="0" w:rightChars="0" w:firstLine="0" w:firstLine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840"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对利用财政性资金设立的科学技术计划实施情况的监督检查</w:t>
            </w:r>
          </w:p>
        </w:tc>
        <w:tc>
          <w:tcPr>
            <w:tcW w:w="4542"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《中华人民共和国科学技术进步法》（中华人民共和国主席令 第一</w:t>
            </w:r>
            <w:r>
              <w:rPr>
                <w:rStyle w:val="36"/>
                <w:rFonts w:hint="eastAsia" w:ascii="仿宋_GB2312" w:hAnsi="仿宋_GB2312" w:eastAsia="仿宋_GB2312" w:cs="仿宋_GB2312"/>
                <w:sz w:val="24"/>
                <w:szCs w:val="24"/>
                <w:lang w:val="en-US" w:eastAsia="zh-CN" w:bidi="ar"/>
              </w:rPr>
              <w:t>〇</w:t>
            </w:r>
            <w:r>
              <w:rPr>
                <w:rStyle w:val="37"/>
                <w:rFonts w:hint="eastAsia" w:ascii="仿宋_GB2312" w:hAnsi="仿宋_GB2312" w:eastAsia="仿宋_GB2312" w:cs="仿宋_GB2312"/>
                <w:sz w:val="24"/>
                <w:szCs w:val="24"/>
                <w:lang w:val="en-US" w:eastAsia="zh-CN" w:bidi="ar"/>
              </w:rPr>
              <w:t>三号）第十六条　国务院科学技术行政部门负责全国科学技术进步工作的宏观管理、统筹协调、服务保障和监督实施；国务院其他有关部门在各自的职责范围内，负责有关的科学技术进步工作。县级以上地方人民政府科学技术行政部门负责本行政区域的科学技术进步工作；县级以上地方人民政府其他有关部门在各自的职责范围内，负责有关的科学技术进步工作。</w:t>
            </w:r>
            <w:r>
              <w:rPr>
                <w:rStyle w:val="37"/>
                <w:rFonts w:hint="eastAsia" w:ascii="仿宋_GB2312" w:hAnsi="仿宋_GB2312" w:eastAsia="仿宋_GB2312" w:cs="仿宋_GB2312"/>
                <w:sz w:val="24"/>
                <w:szCs w:val="24"/>
                <w:lang w:val="en-US" w:eastAsia="zh-CN" w:bidi="ar"/>
              </w:rPr>
              <w:br w:type="textWrapping"/>
            </w:r>
            <w:r>
              <w:rPr>
                <w:rStyle w:val="37"/>
                <w:rFonts w:hint="eastAsia" w:ascii="仿宋_GB2312" w:hAnsi="仿宋_GB2312" w:eastAsia="仿宋_GB2312" w:cs="仿宋_GB2312"/>
                <w:sz w:val="24"/>
                <w:szCs w:val="24"/>
                <w:lang w:val="en-US" w:eastAsia="zh-CN" w:bidi="ar"/>
              </w:rPr>
              <w:t>第七十三条 县级以上人民政府及其有关部门制定的与产业发展相关的科学技术计划，应当体现产业发展的需求。县级以上人民政府及其有关部门确定科学技术计划项目，应当鼓励企业平等竞争和参与实施；对符合产业发展需求、具有明确市场应用前景的项目，应当鼓励企业联合科学技术研究开发机构、高等学校共同实施。地方重大科学技术计划实施应当与国家科学技术重大任务部署相衔接。</w:t>
            </w:r>
            <w:r>
              <w:rPr>
                <w:rStyle w:val="37"/>
                <w:rFonts w:hint="eastAsia" w:ascii="仿宋_GB2312" w:hAnsi="仿宋_GB2312" w:eastAsia="仿宋_GB2312" w:cs="仿宋_GB2312"/>
                <w:sz w:val="24"/>
                <w:szCs w:val="24"/>
                <w:lang w:val="en-US" w:eastAsia="zh-CN" w:bidi="ar"/>
              </w:rPr>
              <w:br w:type="textWrapping"/>
            </w:r>
            <w:r>
              <w:rPr>
                <w:rStyle w:val="37"/>
                <w:rFonts w:hint="eastAsia" w:ascii="仿宋_GB2312" w:hAnsi="仿宋_GB2312" w:eastAsia="仿宋_GB2312" w:cs="仿宋_GB2312"/>
                <w:sz w:val="24"/>
                <w:szCs w:val="24"/>
                <w:lang w:val="en-US" w:eastAsia="zh-CN" w:bidi="ar"/>
              </w:rPr>
              <w:t>第八十七条  财政性科学技术资金应当主要用于下列事项的投入：（一）科学技术基础条件与设施建设；（二）基础研究和前沿交叉学科研究；（三）对经济建设和社会发展具有战略性、基础性、前瞻性作用的前沿技术研究、社会公益性技术研究和重大共性关键技术研究；（四）重大共性关键技术应用和高新技术产业化示范；（五）关系生态环境和人民生命健康的科学技术研究开发和成果的应用、推广；（六）农业新品种、新技术的研究开发和农业科技成果的应用、推广；（七）科学技术人员的培养、吸引和使用；（八）科学技术普及。</w:t>
            </w:r>
            <w:r>
              <w:rPr>
                <w:rStyle w:val="37"/>
                <w:rFonts w:hint="eastAsia" w:ascii="仿宋_GB2312" w:hAnsi="仿宋_GB2312" w:eastAsia="仿宋_GB2312" w:cs="仿宋_GB2312"/>
                <w:sz w:val="24"/>
                <w:szCs w:val="24"/>
                <w:lang w:val="en-US" w:eastAsia="zh-CN" w:bidi="ar"/>
              </w:rPr>
              <w:br w:type="textWrapping"/>
            </w:r>
            <w:r>
              <w:rPr>
                <w:rStyle w:val="37"/>
                <w:rFonts w:hint="eastAsia" w:ascii="仿宋_GB2312" w:hAnsi="仿宋_GB2312" w:eastAsia="仿宋_GB2312" w:cs="仿宋_GB2312"/>
                <w:sz w:val="24"/>
                <w:szCs w:val="24"/>
                <w:lang w:val="en-US" w:eastAsia="zh-CN" w:bidi="ar"/>
              </w:rPr>
              <w:t>第一百条  国家加强财政性科学技术资金绩效管理，提高资金配置效率和使用效益。财政性科学技术资金的管理和使用情况，应当接受审计机关、财政部门的监督检查。科学技术行政等有关部门应当加强对利用财政性资金设立的科学技术计划实施情况的监督，强化科研项目资金协调、评估、监管。</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辖区内承担财政性资金设立的科学技术计划（专项、基金）的项目单位、个人。</w:t>
            </w:r>
          </w:p>
        </w:tc>
        <w:tc>
          <w:tcPr>
            <w:tcW w:w="1683"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1.项目单位法人责任制以及相关科技政策落实情况</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2.项目实施及资金管理使用情况</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3.项目后续管理情况</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省级项目由省科技厅牵头实施，市科技局按照要求参加；市级项目2026年6~12月</w:t>
            </w:r>
          </w:p>
        </w:tc>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现场检查、非现场检查相结合</w:t>
            </w:r>
          </w:p>
        </w:tc>
        <w:tc>
          <w:tcPr>
            <w:tcW w:w="793"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一般</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检查事项</w:t>
            </w:r>
          </w:p>
        </w:tc>
        <w:tc>
          <w:tcPr>
            <w:tcW w:w="707"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1次/年</w:t>
            </w:r>
          </w:p>
        </w:tc>
        <w:tc>
          <w:tcPr>
            <w:tcW w:w="890"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常德市科学技术局政策法规科</w:t>
            </w:r>
          </w:p>
        </w:tc>
        <w:tc>
          <w:tcPr>
            <w:tcW w:w="1440" w:type="dxa"/>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否</w:t>
            </w:r>
          </w:p>
        </w:tc>
        <w:tc>
          <w:tcPr>
            <w:tcW w:w="626" w:type="dxa"/>
            <w:vAlign w:val="center"/>
          </w:tcPr>
          <w:p>
            <w:pPr>
              <w:keepNext w:val="0"/>
              <w:keepLines w:val="0"/>
              <w:pageBreakBefore w:val="0"/>
              <w:widowControl/>
              <w:kinsoku/>
              <w:wordWrap/>
              <w:overflowPunct/>
              <w:topLinePunct w:val="0"/>
              <w:autoSpaceDE/>
              <w:autoSpaceDN/>
              <w:bidi w:val="0"/>
              <w:adjustRightInd/>
              <w:snapToGrid/>
              <w:spacing w:after="0" w:line="320" w:lineRule="exact"/>
              <w:ind w:left="0" w:leftChars="0" w:right="0" w:rightChars="0" w:firstLine="0" w:firstLineChars="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435"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320" w:lineRule="exact"/>
              <w:ind w:left="0" w:leftChars="0" w:right="0" w:rightChars="0" w:firstLine="0" w:firstLine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840"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auto"/>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对科学技术人员科研诚信和科技伦理方面的监</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督检查</w:t>
            </w:r>
          </w:p>
        </w:tc>
        <w:tc>
          <w:tcPr>
            <w:tcW w:w="4542"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auto"/>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 xml:space="preserve">1.《中华人民共和国科学技术进步法》（中华人民共和国主席令 第一〇三号）第十六条　国务院科学技术行政部门负责全国科学技术进步工作的宏观管理、统筹协调、服务保障和监督实施；国务院其他有关部门在各自的职责范围内，负责有关的科学技术进步工作。县级以上地方人民政府科学技术行政部门负责本行政区域的科学技术进步工作；县级以上地方人民政府其他有关部门在各自的职责范围内，负责有关的科学技术进步工作。第六十九条　科研诚信记录作为对科学技术人员聘任专业技术职务或者职称、审批科学技术人员申请科学技术研究开发项目、授予科学技术奖励等的重要依据。第一百零四条 县级以上地方人民政府和相关行业主管部门采取各种措施加强科研诚信建设，企业事业单位和社会组织应当履行科研诚信管理的主体责任。第一百零七条 从事科学技术活动，应当遵守科学技术活动管理规范。对严重违反科学技术活动管理规范的组织和个人，由科学技术行政等有关部门记入科研诚信严重失信行为数据库。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2.中共中央办公厅 国务院办公厅印发《关于进一步加强科研诚信建设的若干意见》（厅字〔2018〕23号）第四条 建立健全职责明确、高效协同的科研诚信管理体系……地方各级政府和相关行业主管部门要积极采取措施加强本地区本系统的科研诚信建设，充实工作力量，强化工作保障。科技计划管理部门要加强科技计划的科研诚信管理，建立健全以诚信为基础的科技计划监管机制，将科研诚信要求融入科技计划管理全过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3.中共中央办公厅 国务院办公厅印发《关于加强科技伦理治理的意见》五、强化科技伦理审查和监管 （四）严肃查处科技伦理违法违规行为。高等学校、科研机构、医疗卫生机构、企业等是科技伦理违规行为单位内部调查处理的第一责任主体，应制定完善本单位调查处理相关规定，及时主动调查科技伦理违规行为，对情节严重的依法依规严肃追责问责；对单位及其负责人涉嫌科技伦理违规行为的，由上级主管部门调查处理。各地方、相关行业主管部门按照职责权限和隶属关系，加强对本地方、本系统科技伦理违规行为调查处理的指导和监督。</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任何单位、组织和个人开展科技活动不得危害社会安全、公共安全、生物安全和生态安全，不得侵害人的生命安全、身心健康、人格尊严，不得侵犯科技活动参与者的知情权和选择权，不得资助违背科技伦理要求的科技活动。相关行业主管部门、资助机构或责任人所在单位要区分不同情况，依法依规对科技伦理违规行为责任人给予责令改正，停止相关科技活动，追回资助资金，撤销获得的奖励、荣誉，取消相关从业资格，禁止一定期限内承担或参与财政性资金支持的科技活动等处理。科技伦理违规行为责任人属于公职人员的依法依规给予处分，属于党员的依规依纪给予党纪处分；涉嫌犯罪的依法予以惩处。</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auto"/>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辖区内承担财政性资金设立的科学技术计划（专项、基金）的项目单位、个人。</w:t>
            </w:r>
          </w:p>
        </w:tc>
        <w:tc>
          <w:tcPr>
            <w:tcW w:w="1683"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auto"/>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1.科研诚信、科技伦理相关政策规定的落实情况</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2.科研诚信、科技伦理违规行为调查处理情况</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auto"/>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2026年10月-12月</w:t>
            </w:r>
          </w:p>
        </w:tc>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auto"/>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现场检查、非现场检查相结合</w:t>
            </w:r>
          </w:p>
        </w:tc>
        <w:tc>
          <w:tcPr>
            <w:tcW w:w="793"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auto"/>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一般检查事项</w:t>
            </w:r>
          </w:p>
        </w:tc>
        <w:tc>
          <w:tcPr>
            <w:tcW w:w="707"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auto"/>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1次/年</w:t>
            </w:r>
          </w:p>
        </w:tc>
        <w:tc>
          <w:tcPr>
            <w:tcW w:w="890" w:type="dxa"/>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常德市科学技术局政策法规科</w:t>
            </w:r>
          </w:p>
        </w:tc>
        <w:tc>
          <w:tcPr>
            <w:tcW w:w="1440" w:type="dxa"/>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否</w:t>
            </w:r>
          </w:p>
        </w:tc>
        <w:tc>
          <w:tcPr>
            <w:tcW w:w="626" w:type="dxa"/>
            <w:vAlign w:val="center"/>
          </w:tcPr>
          <w:p>
            <w:pPr>
              <w:keepNext w:val="0"/>
              <w:keepLines w:val="0"/>
              <w:pageBreakBefore w:val="0"/>
              <w:widowControl/>
              <w:kinsoku/>
              <w:wordWrap/>
              <w:overflowPunct/>
              <w:topLinePunct w:val="0"/>
              <w:autoSpaceDE/>
              <w:autoSpaceDN/>
              <w:bidi w:val="0"/>
              <w:adjustRightInd/>
              <w:snapToGrid/>
              <w:spacing w:after="0" w:line="320" w:lineRule="exact"/>
              <w:ind w:left="0" w:leftChars="0" w:right="0" w:rightChars="0" w:firstLine="0" w:firstLineChars="0"/>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435" w:type="dxa"/>
            <w:vAlign w:val="center"/>
          </w:tcPr>
          <w:p>
            <w:pPr>
              <w:keepNext w:val="0"/>
              <w:keepLines w:val="0"/>
              <w:pageBreakBefore w:val="0"/>
              <w:widowControl/>
              <w:suppressLineNumbers w:val="0"/>
              <w:kinsoku/>
              <w:wordWrap/>
              <w:overflowPunct/>
              <w:topLinePunct w:val="0"/>
              <w:autoSpaceDE/>
              <w:autoSpaceDN/>
              <w:bidi w:val="0"/>
              <w:adjustRightInd/>
              <w:snapToGrid w:val="0"/>
              <w:spacing w:after="0" w:line="320" w:lineRule="exact"/>
              <w:ind w:left="0" w:leftChars="0" w:right="0" w:rightChars="0" w:firstLine="0" w:firstLine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840" w:type="dxa"/>
            <w:vAlign w:val="center"/>
          </w:tcPr>
          <w:p>
            <w:pPr>
              <w:keepNext w:val="0"/>
              <w:keepLines w:val="0"/>
              <w:pageBreakBefore w:val="0"/>
              <w:widowControl/>
              <w:suppressLineNumbers w:val="0"/>
              <w:kinsoku/>
              <w:wordWrap/>
              <w:overflowPunct/>
              <w:topLinePunct w:val="0"/>
              <w:autoSpaceDE/>
              <w:autoSpaceDN/>
              <w:bidi w:val="0"/>
              <w:adjustRightInd/>
              <w:snapToGrid w:val="0"/>
              <w:spacing w:line="320" w:lineRule="exact"/>
              <w:ind w:left="0" w:leftChars="0" w:right="0" w:firstLine="880" w:firstLineChars="0"/>
              <w:jc w:val="left"/>
              <w:textAlignment w:val="auto"/>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spacing w:val="0"/>
                <w:position w:val="0"/>
                <w:sz w:val="24"/>
                <w:szCs w:val="24"/>
              </w:rPr>
              <w:t>对外国人来华工作的行政检查</w:t>
            </w:r>
          </w:p>
        </w:tc>
        <w:tc>
          <w:tcPr>
            <w:tcW w:w="4542" w:type="dxa"/>
            <w:vAlign w:val="center"/>
          </w:tcPr>
          <w:p>
            <w:pPr>
              <w:keepNext w:val="0"/>
              <w:keepLines w:val="0"/>
              <w:pageBreakBefore w:val="0"/>
              <w:widowControl/>
              <w:kinsoku/>
              <w:wordWrap/>
              <w:overflowPunct/>
              <w:topLinePunct w:val="0"/>
              <w:autoSpaceDE/>
              <w:autoSpaceDN/>
              <w:bidi w:val="0"/>
              <w:adjustRightInd/>
              <w:snapToGrid w:val="0"/>
              <w:spacing w:line="320" w:lineRule="exact"/>
              <w:ind w:left="0" w:leftChars="0" w:right="0" w:firstLine="0" w:firstLineChars="0"/>
              <w:jc w:val="left"/>
              <w:textAlignment w:val="auto"/>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spacing w:val="0"/>
                <w:position w:val="0"/>
                <w:sz w:val="24"/>
                <w:szCs w:val="24"/>
              </w:rPr>
              <w:t>1.《中华人民共和国行政许可法》</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中华人民共和国主席令第七号</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w:t>
            </w:r>
            <w:r>
              <w:rPr>
                <w:rFonts w:hint="eastAsia" w:ascii="仿宋_GB2312" w:hAnsi="仿宋_GB2312" w:eastAsia="仿宋_GB2312" w:cs="仿宋_GB2312"/>
                <w:spacing w:val="0"/>
                <w:position w:val="0"/>
                <w:sz w:val="24"/>
                <w:szCs w:val="24"/>
                <w:lang w:val="en-US" w:eastAsia="zh-CN"/>
              </w:rPr>
              <w:t xml:space="preserve">           </w:t>
            </w:r>
            <w:r>
              <w:rPr>
                <w:rFonts w:hint="eastAsia" w:ascii="仿宋_GB2312" w:hAnsi="仿宋_GB2312" w:eastAsia="仿宋_GB2312" w:cs="仿宋_GB2312"/>
                <w:spacing w:val="0"/>
                <w:position w:val="0"/>
                <w:sz w:val="24"/>
                <w:szCs w:val="24"/>
              </w:rPr>
              <w:t>2.《中华人民共和国出境入境管理法》</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中华人民共和国主席令第五十七号</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第四十一条外国人在中国境内工作，应当按照规定取得工作许可和工作类居留证件。任何单位和个人不得聘用未取得工作许可和工作类居留证件的外国人。</w:t>
            </w:r>
            <w:r>
              <w:rPr>
                <w:rFonts w:hint="eastAsia" w:ascii="仿宋_GB2312" w:hAnsi="仿宋_GB2312" w:eastAsia="仿宋_GB2312" w:cs="仿宋_GB2312"/>
                <w:spacing w:val="0"/>
                <w:position w:val="0"/>
                <w:sz w:val="24"/>
                <w:szCs w:val="24"/>
                <w:lang w:val="en-US" w:eastAsia="zh-CN"/>
              </w:rPr>
              <w:t xml:space="preserve">              </w:t>
            </w:r>
            <w:r>
              <w:rPr>
                <w:rFonts w:hint="eastAsia" w:ascii="仿宋_GB2312" w:hAnsi="仿宋_GB2312" w:eastAsia="仿宋_GB2312" w:cs="仿宋_GB2312"/>
                <w:spacing w:val="0"/>
                <w:position w:val="0"/>
                <w:sz w:val="24"/>
                <w:szCs w:val="24"/>
              </w:rPr>
              <w:t>3.《中华人民共和国外国人入境出境管理条例》</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中华人民共和国国务院令第637号</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第七条申请R字签证，应当符合中国政府有关主管部门确定的外国高层次人才和急需紧缺专门人才的引进条件和要求，并按照规定提交相应的证明材料。申请Z字签证，应当按照规定提交工作许可等证明材料。第十六条工作类居留证件，应当提交工作许可等证明材料；属于国家需要的外国高层次人才和急需紧缺专门人才的，应当按照规定提交有关证明材料。</w:t>
            </w:r>
            <w:r>
              <w:rPr>
                <w:rFonts w:hint="eastAsia" w:ascii="仿宋_GB2312" w:hAnsi="仿宋_GB2312" w:eastAsia="仿宋_GB2312" w:cs="仿宋_GB2312"/>
                <w:spacing w:val="0"/>
                <w:position w:val="0"/>
                <w:sz w:val="24"/>
                <w:szCs w:val="24"/>
                <w:lang w:val="en-US" w:eastAsia="zh-CN"/>
              </w:rPr>
              <w:t xml:space="preserve">   </w:t>
            </w:r>
            <w:r>
              <w:rPr>
                <w:rFonts w:hint="eastAsia" w:ascii="仿宋_GB2312" w:hAnsi="仿宋_GB2312" w:eastAsia="仿宋_GB2312" w:cs="仿宋_GB2312"/>
                <w:spacing w:val="0"/>
                <w:position w:val="0"/>
                <w:sz w:val="24"/>
                <w:szCs w:val="24"/>
              </w:rPr>
              <w:t>4.《外国人在中国就业管理规定》</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2017年3月13日中华人民共和国人力资源和社会保障部令第32号修正</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w:t>
            </w:r>
            <w:r>
              <w:rPr>
                <w:rFonts w:hint="eastAsia" w:ascii="仿宋_GB2312" w:hAnsi="仿宋_GB2312" w:eastAsia="仿宋_GB2312" w:cs="仿宋_GB2312"/>
                <w:spacing w:val="0"/>
                <w:position w:val="0"/>
                <w:sz w:val="24"/>
                <w:szCs w:val="24"/>
                <w:lang w:val="en-US" w:eastAsia="zh-CN"/>
              </w:rPr>
              <w:t xml:space="preserve">             </w:t>
            </w:r>
            <w:r>
              <w:rPr>
                <w:rFonts w:hint="eastAsia" w:ascii="仿宋_GB2312" w:hAnsi="仿宋_GB2312" w:eastAsia="仿宋_GB2312" w:cs="仿宋_GB2312"/>
                <w:spacing w:val="0"/>
                <w:position w:val="0"/>
                <w:sz w:val="24"/>
                <w:szCs w:val="24"/>
              </w:rPr>
              <w:t>5.《国家外国专家局、人力资源社会保障部、外交部、公安部关于全面实施外国人来华工作许可制度的通知》</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外专发〔2017〕40号</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w:t>
            </w:r>
            <w:r>
              <w:rPr>
                <w:rFonts w:hint="eastAsia" w:ascii="仿宋_GB2312" w:hAnsi="仿宋_GB2312" w:eastAsia="仿宋_GB2312" w:cs="仿宋_GB2312"/>
                <w:spacing w:val="0"/>
                <w:position w:val="0"/>
                <w:sz w:val="24"/>
                <w:szCs w:val="24"/>
                <w:lang w:val="en-US" w:eastAsia="zh-CN"/>
              </w:rPr>
              <w:t xml:space="preserve">                             </w:t>
            </w:r>
            <w:r>
              <w:rPr>
                <w:rFonts w:hint="eastAsia" w:ascii="仿宋_GB2312" w:hAnsi="仿宋_GB2312" w:eastAsia="仿宋_GB2312" w:cs="仿宋_GB2312"/>
                <w:spacing w:val="0"/>
                <w:position w:val="0"/>
                <w:sz w:val="24"/>
                <w:szCs w:val="24"/>
              </w:rPr>
              <w:t>6.《国家外国专家局关于印发外国人来华工作许可服务指南</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暂行</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的通知》</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外专发〔2017〕36号</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rPr>
              <w:t>全文。</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val="0"/>
              <w:spacing w:line="320" w:lineRule="exact"/>
              <w:ind w:left="0" w:leftChars="0" w:right="0" w:firstLine="0" w:firstLineChars="0"/>
              <w:jc w:val="both"/>
              <w:textAlignment w:val="auto"/>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spacing w:val="0"/>
                <w:position w:val="0"/>
                <w:sz w:val="24"/>
                <w:szCs w:val="24"/>
                <w:lang w:eastAsia="zh-CN"/>
              </w:rPr>
              <w:t>常德市内</w:t>
            </w:r>
            <w:r>
              <w:rPr>
                <w:rFonts w:hint="eastAsia" w:ascii="仿宋_GB2312" w:hAnsi="仿宋_GB2312" w:eastAsia="仿宋_GB2312" w:cs="仿宋_GB2312"/>
                <w:spacing w:val="0"/>
                <w:position w:val="0"/>
                <w:sz w:val="24"/>
                <w:szCs w:val="24"/>
              </w:rPr>
              <w:t>来华工作的外国人、聘用外国人的用人单位。</w:t>
            </w:r>
          </w:p>
        </w:tc>
        <w:tc>
          <w:tcPr>
            <w:tcW w:w="1683" w:type="dxa"/>
            <w:vAlign w:val="center"/>
          </w:tcPr>
          <w:p>
            <w:pPr>
              <w:keepNext w:val="0"/>
              <w:keepLines w:val="0"/>
              <w:pageBreakBefore w:val="0"/>
              <w:widowControl/>
              <w:kinsoku/>
              <w:wordWrap/>
              <w:overflowPunct/>
              <w:topLinePunct w:val="0"/>
              <w:autoSpaceDE/>
              <w:autoSpaceDN/>
              <w:bidi w:val="0"/>
              <w:adjustRightInd/>
              <w:snapToGrid w:val="0"/>
              <w:spacing w:line="320" w:lineRule="exact"/>
              <w:ind w:left="0" w:leftChars="0" w:right="0" w:firstLine="0" w:firstLineChars="0"/>
              <w:jc w:val="left"/>
              <w:textAlignment w:val="auto"/>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spacing w:val="0"/>
                <w:position w:val="0"/>
                <w:sz w:val="24"/>
                <w:szCs w:val="24"/>
              </w:rPr>
              <w:t>1.外国人来华工作许可行政审批监督检查</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lang w:val="en-US" w:eastAsia="zh-CN"/>
              </w:rPr>
              <w:t xml:space="preserve">        </w:t>
            </w:r>
            <w:r>
              <w:rPr>
                <w:rFonts w:hint="eastAsia" w:ascii="仿宋_GB2312" w:hAnsi="仿宋_GB2312" w:eastAsia="仿宋_GB2312" w:cs="仿宋_GB2312"/>
                <w:spacing w:val="0"/>
                <w:position w:val="0"/>
                <w:sz w:val="24"/>
                <w:szCs w:val="24"/>
              </w:rPr>
              <w:t>2.证件管理情况监督检查</w:t>
            </w:r>
            <w:r>
              <w:rPr>
                <w:rFonts w:hint="eastAsia" w:ascii="仿宋_GB2312" w:hAnsi="仿宋_GB2312" w:eastAsia="仿宋_GB2312" w:cs="仿宋_GB2312"/>
                <w:spacing w:val="0"/>
                <w:position w:val="0"/>
                <w:sz w:val="24"/>
                <w:szCs w:val="24"/>
                <w:lang w:eastAsia="zh-CN"/>
              </w:rPr>
              <w:t>；</w:t>
            </w:r>
            <w:r>
              <w:rPr>
                <w:rFonts w:hint="eastAsia" w:ascii="仿宋_GB2312" w:hAnsi="仿宋_GB2312" w:eastAsia="仿宋_GB2312" w:cs="仿宋_GB2312"/>
                <w:spacing w:val="0"/>
                <w:position w:val="0"/>
                <w:sz w:val="24"/>
                <w:szCs w:val="24"/>
                <w:lang w:val="en-US" w:eastAsia="zh-CN"/>
              </w:rPr>
              <w:t>3.</w:t>
            </w:r>
            <w:r>
              <w:rPr>
                <w:rFonts w:hint="eastAsia" w:ascii="仿宋_GB2312" w:hAnsi="仿宋_GB2312" w:eastAsia="仿宋_GB2312" w:cs="仿宋_GB2312"/>
                <w:spacing w:val="0"/>
                <w:position w:val="0"/>
                <w:sz w:val="24"/>
                <w:szCs w:val="24"/>
              </w:rPr>
              <w:t>用人单位使用外国人情况监督检查</w:t>
            </w:r>
            <w:r>
              <w:rPr>
                <w:rFonts w:hint="eastAsia" w:ascii="仿宋_GB2312" w:hAnsi="仿宋_GB2312" w:eastAsia="仿宋_GB2312" w:cs="仿宋_GB2312"/>
                <w:spacing w:val="0"/>
                <w:position w:val="0"/>
                <w:sz w:val="24"/>
                <w:szCs w:val="24"/>
                <w:lang w:eastAsia="zh-CN"/>
              </w:rPr>
              <w:t>。</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val="0"/>
              <w:spacing w:line="320" w:lineRule="exact"/>
              <w:ind w:left="0" w:leftChars="0" w:right="0" w:firstLineChars="0"/>
              <w:jc w:val="both"/>
              <w:textAlignment w:val="auto"/>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1外国人来华工作许可办理为全年（工作日）；</w:t>
            </w:r>
          </w:p>
          <w:p>
            <w:pPr>
              <w:keepNext w:val="0"/>
              <w:keepLines w:val="0"/>
              <w:pageBreakBefore w:val="0"/>
              <w:widowControl/>
              <w:suppressLineNumbers w:val="0"/>
              <w:kinsoku/>
              <w:wordWrap/>
              <w:overflowPunct/>
              <w:topLinePunct w:val="0"/>
              <w:autoSpaceDE/>
              <w:autoSpaceDN/>
              <w:bidi w:val="0"/>
              <w:adjustRightInd/>
              <w:snapToGrid w:val="0"/>
              <w:spacing w:line="320" w:lineRule="exact"/>
              <w:ind w:left="0" w:leftChars="0" w:right="0" w:firstLine="880" w:firstLineChars="0"/>
              <w:jc w:val="both"/>
              <w:textAlignment w:val="auto"/>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2相关检查由省科技厅牵头实施，市科技局按照要求参加；</w:t>
            </w:r>
          </w:p>
        </w:tc>
        <w:tc>
          <w:tcPr>
            <w:tcW w:w="967" w:type="dxa"/>
            <w:vAlign w:val="center"/>
          </w:tcPr>
          <w:p>
            <w:pPr>
              <w:keepNext w:val="0"/>
              <w:keepLines w:val="0"/>
              <w:pageBreakBefore w:val="0"/>
              <w:widowControl/>
              <w:suppressLineNumbers w:val="0"/>
              <w:kinsoku/>
              <w:wordWrap/>
              <w:overflowPunct/>
              <w:topLinePunct w:val="0"/>
              <w:autoSpaceDE/>
              <w:autoSpaceDN/>
              <w:bidi w:val="0"/>
              <w:adjustRightInd/>
              <w:snapToGrid w:val="0"/>
              <w:spacing w:line="320" w:lineRule="exact"/>
              <w:ind w:left="0" w:leftChars="0" w:right="0" w:firstLine="880" w:firstLineChars="0"/>
              <w:jc w:val="both"/>
              <w:textAlignment w:val="auto"/>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现现场检查、非现场检查相结合</w:t>
            </w:r>
          </w:p>
        </w:tc>
        <w:tc>
          <w:tcPr>
            <w:tcW w:w="793" w:type="dxa"/>
            <w:vAlign w:val="center"/>
          </w:tcPr>
          <w:p>
            <w:pPr>
              <w:keepNext w:val="0"/>
              <w:keepLines w:val="0"/>
              <w:pageBreakBefore w:val="0"/>
              <w:widowControl/>
              <w:suppressLineNumbers w:val="0"/>
              <w:kinsoku/>
              <w:wordWrap/>
              <w:overflowPunct/>
              <w:topLinePunct w:val="0"/>
              <w:autoSpaceDE/>
              <w:autoSpaceDN/>
              <w:bidi w:val="0"/>
              <w:adjustRightInd/>
              <w:snapToGrid w:val="0"/>
              <w:spacing w:line="320" w:lineRule="exact"/>
              <w:ind w:left="0" w:leftChars="0" w:right="0" w:firstLine="880" w:firstLineChars="0"/>
              <w:jc w:val="both"/>
              <w:textAlignment w:val="auto"/>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一般检查事项</w:t>
            </w:r>
          </w:p>
        </w:tc>
        <w:tc>
          <w:tcPr>
            <w:tcW w:w="707" w:type="dxa"/>
            <w:vAlign w:val="center"/>
          </w:tcPr>
          <w:p>
            <w:pPr>
              <w:keepNext w:val="0"/>
              <w:keepLines w:val="0"/>
              <w:pageBreakBefore w:val="0"/>
              <w:widowControl/>
              <w:suppressLineNumbers w:val="0"/>
              <w:kinsoku/>
              <w:wordWrap/>
              <w:overflowPunct/>
              <w:topLinePunct w:val="0"/>
              <w:autoSpaceDE/>
              <w:autoSpaceDN/>
              <w:bidi w:val="0"/>
              <w:adjustRightInd/>
              <w:snapToGrid w:val="0"/>
              <w:spacing w:line="320" w:lineRule="exact"/>
              <w:ind w:left="0" w:leftChars="0" w:right="0" w:rightChars="0" w:firstLine="880" w:firstLineChars="0"/>
              <w:jc w:val="both"/>
              <w:textAlignment w:val="auto"/>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11次/年</w:t>
            </w:r>
          </w:p>
        </w:tc>
        <w:tc>
          <w:tcPr>
            <w:tcW w:w="890" w:type="dxa"/>
            <w:vAlign w:val="center"/>
          </w:tcPr>
          <w:p>
            <w:pPr>
              <w:keepNext w:val="0"/>
              <w:keepLines w:val="0"/>
              <w:pageBreakBefore w:val="0"/>
              <w:kinsoku/>
              <w:wordWrap/>
              <w:overflowPunct/>
              <w:topLinePunct w:val="0"/>
              <w:autoSpaceDE/>
              <w:autoSpaceDN/>
              <w:bidi w:val="0"/>
              <w:adjustRightInd/>
              <w:snapToGrid w:val="0"/>
              <w:spacing w:line="320" w:lineRule="exact"/>
              <w:ind w:left="0" w:leftChars="0" w:right="0" w:rightChars="0" w:firstLine="880" w:firstLineChars="0"/>
              <w:jc w:val="both"/>
              <w:textAlignment w:val="auto"/>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常德市科学技术局人事科</w:t>
            </w:r>
          </w:p>
        </w:tc>
        <w:tc>
          <w:tcPr>
            <w:tcW w:w="1440" w:type="dxa"/>
            <w:vAlign w:val="center"/>
          </w:tcPr>
          <w:p>
            <w:pPr>
              <w:keepNext w:val="0"/>
              <w:keepLines w:val="0"/>
              <w:pageBreakBefore w:val="0"/>
              <w:kinsoku/>
              <w:wordWrap/>
              <w:overflowPunct/>
              <w:topLinePunct w:val="0"/>
              <w:autoSpaceDE/>
              <w:autoSpaceDN/>
              <w:bidi w:val="0"/>
              <w:adjustRightInd/>
              <w:snapToGrid w:val="0"/>
              <w:spacing w:line="320" w:lineRule="exact"/>
              <w:ind w:right="0"/>
              <w:jc w:val="both"/>
              <w:textAlignment w:val="auto"/>
              <w:rPr>
                <w:rFonts w:hint="eastAsia" w:ascii="仿宋_GB2312" w:hAnsi="仿宋_GB2312" w:eastAsia="仿宋_GB2312" w:cs="仿宋_GB2312"/>
                <w:i w:val="0"/>
                <w:color w:val="000000"/>
                <w:kern w:val="2"/>
                <w:sz w:val="24"/>
                <w:szCs w:val="24"/>
                <w:u w:val="none"/>
                <w:lang w:val="en-US" w:eastAsia="zh-CN" w:bidi="ar-SA"/>
              </w:rPr>
            </w:pPr>
            <w:r>
              <w:rPr>
                <w:rFonts w:hint="eastAsia" w:ascii="Times New Roman" w:hAnsi="Times New Roman" w:eastAsia="仿宋_GB2312" w:cs="仿宋_GB2312"/>
                <w:i w:val="0"/>
                <w:iCs w:val="0"/>
                <w:color w:val="000000"/>
                <w:kern w:val="0"/>
                <w:sz w:val="24"/>
                <w:szCs w:val="24"/>
                <w:u w:val="none"/>
                <w:lang w:val="en-US" w:eastAsia="zh-CN" w:bidi="ar"/>
              </w:rPr>
              <w:t>否</w:t>
            </w:r>
          </w:p>
        </w:tc>
        <w:tc>
          <w:tcPr>
            <w:tcW w:w="626" w:type="dxa"/>
            <w:vAlign w:val="center"/>
          </w:tcPr>
          <w:p>
            <w:pPr>
              <w:keepNext w:val="0"/>
              <w:keepLines w:val="0"/>
              <w:pageBreakBefore w:val="0"/>
              <w:widowControl/>
              <w:kinsoku/>
              <w:wordWrap/>
              <w:overflowPunct/>
              <w:topLinePunct w:val="0"/>
              <w:autoSpaceDE/>
              <w:autoSpaceDN/>
              <w:bidi w:val="0"/>
              <w:adjustRightInd/>
              <w:snapToGrid w:val="0"/>
              <w:spacing w:after="0" w:line="320" w:lineRule="exact"/>
              <w:ind w:left="0" w:leftChars="0" w:right="0" w:rightChars="0" w:firstLine="0" w:firstLineChars="0"/>
              <w:jc w:val="center"/>
              <w:rPr>
                <w:rFonts w:hint="eastAsia" w:ascii="仿宋_GB2312" w:hAnsi="仿宋_GB2312" w:eastAsia="仿宋_GB2312" w:cs="仿宋_GB2312"/>
                <w:kern w:val="0"/>
                <w:sz w:val="24"/>
                <w:szCs w:val="24"/>
              </w:rPr>
            </w:pPr>
          </w:p>
        </w:tc>
      </w:tr>
    </w:tbl>
    <w:p>
      <w:pPr>
        <w:keepNext w:val="0"/>
        <w:keepLines w:val="0"/>
        <w:pageBreakBefore w:val="0"/>
        <w:widowControl w:val="0"/>
        <w:kinsoku/>
        <w:wordWrap/>
        <w:overflowPunct/>
        <w:topLinePunct w:val="0"/>
        <w:autoSpaceDE/>
        <w:autoSpaceDN/>
        <w:bidi w:val="0"/>
        <w:adjustRightInd/>
        <w:snapToGrid w:val="0"/>
        <w:spacing w:after="0" w:line="320" w:lineRule="exact"/>
        <w:ind w:left="0" w:leftChars="0" w:right="0" w:rightChars="0" w:firstLine="0" w:firstLineChars="0"/>
        <w:jc w:val="both"/>
        <w:textAlignment w:val="auto"/>
        <w:outlineLvl w:val="9"/>
        <w:rPr>
          <w:rFonts w:hint="eastAsia" w:ascii="仿宋" w:hAnsi="仿宋" w:eastAsia="仿宋" w:cs="仿宋"/>
          <w:sz w:val="24"/>
          <w:szCs w:val="24"/>
        </w:rPr>
      </w:pPr>
    </w:p>
    <w:p>
      <w:pPr>
        <w:keepNext w:val="0"/>
        <w:keepLines w:val="0"/>
        <w:pageBreakBefore w:val="0"/>
        <w:widowControl/>
        <w:kinsoku/>
        <w:wordWrap/>
        <w:overflowPunct/>
        <w:topLinePunct w:val="0"/>
        <w:autoSpaceDE/>
        <w:autoSpaceDN/>
        <w:bidi w:val="0"/>
        <w:adjustRightInd/>
        <w:snapToGrid w:val="0"/>
        <w:spacing w:after="0" w:line="320" w:lineRule="exact"/>
        <w:ind w:left="0" w:leftChars="0" w:right="0" w:rightChars="0" w:firstLine="0" w:firstLineChars="0"/>
        <w:jc w:val="left"/>
        <w:textAlignment w:val="auto"/>
        <w:outlineLvl w:val="9"/>
        <w:rPr>
          <w:rFonts w:hint="eastAsia" w:ascii="仿宋" w:hAnsi="仿宋" w:eastAsia="仿宋" w:cs="仿宋"/>
          <w:kern w:val="0"/>
          <w:sz w:val="24"/>
          <w:szCs w:val="24"/>
        </w:rPr>
      </w:pPr>
    </w:p>
    <w:p>
      <w:pPr>
        <w:keepNext w:val="0"/>
        <w:keepLines w:val="0"/>
        <w:pageBreakBefore w:val="0"/>
        <w:widowControl/>
        <w:kinsoku/>
        <w:wordWrap/>
        <w:overflowPunct/>
        <w:topLinePunct w:val="0"/>
        <w:autoSpaceDE/>
        <w:autoSpaceDN/>
        <w:bidi w:val="0"/>
        <w:adjustRightInd/>
        <w:snapToGrid w:val="0"/>
        <w:spacing w:after="0" w:line="320" w:lineRule="exact"/>
        <w:ind w:left="0" w:leftChars="0" w:right="0" w:rightChars="0" w:firstLine="0" w:firstLineChars="0"/>
        <w:jc w:val="left"/>
        <w:textAlignment w:val="auto"/>
        <w:outlineLvl w:val="9"/>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填写说明：</w:t>
      </w:r>
    </w:p>
    <w:p>
      <w:pPr>
        <w:keepNext w:val="0"/>
        <w:keepLines w:val="0"/>
        <w:pageBreakBefore w:val="0"/>
        <w:widowControl/>
        <w:kinsoku/>
        <w:wordWrap/>
        <w:overflowPunct/>
        <w:topLinePunct w:val="0"/>
        <w:autoSpaceDE/>
        <w:autoSpaceDN/>
        <w:bidi w:val="0"/>
        <w:adjustRightInd/>
        <w:snapToGrid w:val="0"/>
        <w:spacing w:after="0" w:line="320" w:lineRule="exact"/>
        <w:ind w:left="0" w:leftChars="0" w:right="0" w:rightChars="0" w:firstLine="0" w:firstLineChars="0"/>
        <w:jc w:val="left"/>
        <w:textAlignment w:val="auto"/>
        <w:outlineLvl w:val="9"/>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检查事项、实施依据、承办机构栏原则上应与本单位涉企行政检查事项清单保持一致。其中，“实施依据”栏需列明以下内容：①法律法规规章名称（含规章令号）；②具体条、款、项、目；③引用相关条文原文。</w:t>
      </w:r>
    </w:p>
    <w:p>
      <w:pPr>
        <w:keepNext w:val="0"/>
        <w:keepLines w:val="0"/>
        <w:pageBreakBefore w:val="0"/>
        <w:widowControl/>
        <w:kinsoku/>
        <w:wordWrap/>
        <w:overflowPunct/>
        <w:topLinePunct w:val="0"/>
        <w:autoSpaceDE/>
        <w:autoSpaceDN/>
        <w:bidi w:val="0"/>
        <w:adjustRightInd/>
        <w:snapToGrid w:val="0"/>
        <w:spacing w:after="0" w:line="320" w:lineRule="exact"/>
        <w:ind w:left="0" w:leftChars="0" w:right="0" w:rightChars="0" w:firstLine="0" w:firstLineChars="0"/>
        <w:jc w:val="left"/>
        <w:textAlignment w:val="auto"/>
        <w:outlineLvl w:val="9"/>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2.根据投诉举报、转（交）办、数据监控等实施的触发式行政检查，按照省政府办公厅《关于严格规范涉企行政检查的实施方案》相关规定执行，不列入本计划。</w:t>
      </w:r>
    </w:p>
    <w:p>
      <w:pPr>
        <w:keepNext w:val="0"/>
        <w:keepLines w:val="0"/>
        <w:pageBreakBefore w:val="0"/>
        <w:widowControl/>
        <w:kinsoku/>
        <w:wordWrap/>
        <w:overflowPunct/>
        <w:topLinePunct w:val="0"/>
        <w:autoSpaceDE/>
        <w:autoSpaceDN/>
        <w:bidi w:val="0"/>
        <w:adjustRightInd/>
        <w:snapToGrid w:val="0"/>
        <w:spacing w:after="0" w:line="320" w:lineRule="exact"/>
        <w:ind w:left="0" w:leftChars="0" w:right="0" w:rightChars="0" w:firstLine="0" w:firstLineChars="0"/>
        <w:jc w:val="left"/>
        <w:textAlignment w:val="auto"/>
        <w:outlineLvl w:val="9"/>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3.“检查方式”主要包括现场检查、非现场检查、现场检查和非现场检查相结合三种；列为非现场检查的事项，在“备注”栏注明“无扰检查”。</w:t>
      </w:r>
    </w:p>
    <w:p>
      <w:pPr>
        <w:keepNext w:val="0"/>
        <w:keepLines w:val="0"/>
        <w:pageBreakBefore w:val="0"/>
        <w:widowControl/>
        <w:kinsoku/>
        <w:wordWrap/>
        <w:overflowPunct/>
        <w:topLinePunct w:val="0"/>
        <w:autoSpaceDE/>
        <w:autoSpaceDN/>
        <w:bidi w:val="0"/>
        <w:adjustRightInd/>
        <w:snapToGrid w:val="0"/>
        <w:spacing w:after="0" w:line="320" w:lineRule="exact"/>
        <w:ind w:left="0" w:leftChars="0" w:right="0" w:rightChars="0" w:firstLine="0" w:firstLineChars="0"/>
        <w:jc w:val="left"/>
        <w:textAlignment w:val="auto"/>
        <w:outlineLvl w:val="9"/>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4.“检查对象”应列明具体检查对象名单，或者精准描述抽查对象具体范围、数量或者比例，并在“备注”栏明确本项检查是否属“双随机</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一公开”抽查。</w:t>
      </w:r>
    </w:p>
    <w:p>
      <w:pPr>
        <w:keepNext w:val="0"/>
        <w:keepLines w:val="0"/>
        <w:pageBreakBefore w:val="0"/>
        <w:widowControl/>
        <w:kinsoku/>
        <w:wordWrap/>
        <w:overflowPunct/>
        <w:topLinePunct w:val="0"/>
        <w:autoSpaceDE/>
        <w:autoSpaceDN/>
        <w:bidi w:val="0"/>
        <w:adjustRightInd/>
        <w:snapToGrid w:val="0"/>
        <w:spacing w:after="0" w:line="320" w:lineRule="exact"/>
        <w:ind w:left="0" w:leftChars="0" w:right="0" w:rightChars="0" w:firstLine="0" w:firstLineChars="0"/>
        <w:jc w:val="left"/>
        <w:textAlignment w:val="auto"/>
        <w:outlineLvl w:val="9"/>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5.“检查事项类型”填写“重点检查事项”或者“一般检查事项”。</w:t>
      </w:r>
    </w:p>
    <w:p>
      <w:pPr>
        <w:keepNext w:val="0"/>
        <w:keepLines w:val="0"/>
        <w:pageBreakBefore w:val="0"/>
        <w:widowControl/>
        <w:kinsoku/>
        <w:wordWrap/>
        <w:overflowPunct/>
        <w:topLinePunct w:val="0"/>
        <w:autoSpaceDE/>
        <w:autoSpaceDN/>
        <w:bidi w:val="0"/>
        <w:adjustRightInd/>
        <w:snapToGrid w:val="0"/>
        <w:spacing w:after="0" w:line="320" w:lineRule="exact"/>
        <w:ind w:left="0" w:leftChars="0" w:right="0" w:rightChars="0" w:firstLine="0" w:firstLineChars="0"/>
        <w:jc w:val="left"/>
        <w:textAlignment w:val="auto"/>
        <w:outlineLvl w:val="9"/>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6.根据省政府办公厅《关于严格规范涉企行政检查的实施方案》相关规定，本表应在同级司法行政部门同意备案后，由制定机关15日内在“湖南省行政执法公示平台-涉企行政检查”专栏公示。</w:t>
      </w:r>
    </w:p>
    <w:p>
      <w:pPr>
        <w:keepNext w:val="0"/>
        <w:keepLines w:val="0"/>
        <w:pageBreakBefore w:val="0"/>
        <w:widowControl w:val="0"/>
        <w:kinsoku/>
        <w:wordWrap/>
        <w:overflowPunct/>
        <w:topLinePunct w:val="0"/>
        <w:autoSpaceDE/>
        <w:autoSpaceDN/>
        <w:bidi w:val="0"/>
        <w:adjustRightInd/>
        <w:snapToGrid w:val="0"/>
        <w:spacing w:after="0" w:line="320" w:lineRule="exact"/>
        <w:ind w:left="0" w:leftChars="0" w:right="0" w:rightChars="0" w:firstLine="0" w:firstLineChars="0"/>
        <w:jc w:val="both"/>
        <w:textAlignment w:val="auto"/>
        <w:outlineLvl w:val="9"/>
        <w:rPr>
          <w:rFonts w:hint="default" w:ascii="Times New Roman" w:hAnsi="Times New Roman" w:eastAsia="仿宋_GB2312"/>
        </w:rPr>
      </w:pPr>
      <w:r>
        <w:rPr>
          <w:rFonts w:hint="eastAsia" w:ascii="仿宋_GB2312" w:hAnsi="仿宋_GB2312" w:eastAsia="仿宋_GB2312" w:cs="仿宋_GB2312"/>
          <w:kern w:val="0"/>
          <w:sz w:val="24"/>
          <w:szCs w:val="24"/>
        </w:rPr>
        <w:t>7.各单位与同级司法行政部门沟通一致后，可结合本单位实际在表格栏目外适当增加栏</w:t>
      </w:r>
      <w:r>
        <w:rPr>
          <w:rFonts w:hint="eastAsia" w:ascii="Times New Roman" w:hAnsi="Times New Roman" w:eastAsia="仿宋_GB2312" w:cs="仿宋_GB2312"/>
          <w:kern w:val="0"/>
          <w:sz w:val="24"/>
          <w:szCs w:val="24"/>
        </w:rPr>
        <w:t>目,或者以附件形式补充明确相关内容。</w:t>
      </w:r>
    </w:p>
    <w:sectPr>
      <w:headerReference r:id="rId5" w:type="default"/>
      <w:footerReference r:id="rId7" w:type="default"/>
      <w:headerReference r:id="rId6" w:type="even"/>
      <w:footerReference r:id="rId8" w:type="even"/>
      <w:pgSz w:w="16838" w:h="11906" w:orient="landscape"/>
      <w:pgMar w:top="1814" w:right="1440" w:bottom="1440" w:left="1440" w:header="850" w:footer="992" w:gutter="0"/>
      <w:pgNumType w:fmt="decimal"/>
      <w:cols w:space="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等线 Light">
    <w:altName w:val="方正仿宋简体"/>
    <w:panose1 w:val="02010600030101010101"/>
    <w:charset w:val="86"/>
    <w:family w:val="auto"/>
    <w:pitch w:val="default"/>
    <w:sig w:usb0="00000000" w:usb1="00000000" w:usb2="00000016" w:usb3="00000000" w:csb0="0004000F" w:csb1="00000000"/>
  </w:font>
  <w:font w:name="方正仿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right="320" w:rightChars="100" w:firstLine="560"/>
      <w:jc w:val="right"/>
      <w:rPr>
        <w:rFonts w:hint="default" w:ascii="Times New Roman" w:hAnsi="Times New Roman" w:eastAsia="宋体" w:cs="Times New Roman"/>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ind w:right="320" w:rightChars="100" w:firstLine="560"/>
                            <w:jc w:val="right"/>
                          </w:pPr>
                          <w:r>
                            <w:rPr>
                              <w:rFonts w:hint="eastAsia" w:ascii="宋体" w:hAnsi="宋体" w:eastAsia="宋体" w:cs="宋体"/>
                              <w:sz w:val="28"/>
                            </w:rPr>
                            <w:t>－</w:t>
                          </w:r>
                          <w:r>
                            <w:rPr>
                              <w:rFonts w:hint="default" w:ascii="Times New Roman" w:hAnsi="Times New Roman" w:eastAsia="宋体" w:cs="Times New Roman"/>
                              <w:sz w:val="28"/>
                            </w:rPr>
                            <w:t xml:space="preserve"> </w:t>
                          </w: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Arabic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3</w:t>
                          </w:r>
                          <w:r>
                            <w:rPr>
                              <w:rFonts w:hint="default" w:ascii="Times New Roman" w:hAnsi="Times New Roman" w:eastAsia="宋体" w:cs="Times New Roman"/>
                              <w:sz w:val="28"/>
                            </w:rPr>
                            <w:fldChar w:fldCharType="end"/>
                          </w:r>
                          <w:r>
                            <w:rPr>
                              <w:rFonts w:hint="default" w:ascii="Times New Roman" w:hAnsi="Times New Roman" w:eastAsia="宋体" w:cs="Times New Roman"/>
                              <w:sz w:val="28"/>
                            </w:rPr>
                            <w:t xml:space="preserve"> </w:t>
                          </w:r>
                          <w:r>
                            <w:rPr>
                              <w:rFonts w:hint="eastAsia" w:ascii="宋体" w:hAnsi="宋体" w:eastAsia="宋体" w:cs="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a4X5+z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15"/>
                      <w:ind w:right="320" w:rightChars="100" w:firstLine="560"/>
                      <w:jc w:val="right"/>
                    </w:pPr>
                    <w:r>
                      <w:rPr>
                        <w:rFonts w:hint="eastAsia" w:ascii="宋体" w:hAnsi="宋体" w:eastAsia="宋体" w:cs="宋体"/>
                        <w:sz w:val="28"/>
                      </w:rPr>
                      <w:t>－</w:t>
                    </w:r>
                    <w:r>
                      <w:rPr>
                        <w:rFonts w:hint="default" w:ascii="Times New Roman" w:hAnsi="Times New Roman" w:eastAsia="宋体" w:cs="Times New Roman"/>
                        <w:sz w:val="28"/>
                      </w:rPr>
                      <w:t xml:space="preserve"> </w:t>
                    </w: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Arabic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3</w:t>
                    </w:r>
                    <w:r>
                      <w:rPr>
                        <w:rFonts w:hint="default" w:ascii="Times New Roman" w:hAnsi="Times New Roman" w:eastAsia="宋体" w:cs="Times New Roman"/>
                        <w:sz w:val="28"/>
                      </w:rPr>
                      <w:fldChar w:fldCharType="end"/>
                    </w:r>
                    <w:r>
                      <w:rPr>
                        <w:rFonts w:hint="default" w:ascii="Times New Roman" w:hAnsi="Times New Roman" w:eastAsia="宋体" w:cs="Times New Roman"/>
                        <w:sz w:val="28"/>
                      </w:rPr>
                      <w:t xml:space="preserve"> </w:t>
                    </w:r>
                    <w:r>
                      <w:rPr>
                        <w:rFonts w:hint="eastAsia" w:ascii="宋体" w:hAnsi="宋体" w:eastAsia="宋体" w:cs="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left="0" w:leftChars="0" w:firstLine="0" w:firstLineChars="0"/>
      <w:rPr>
        <w:rFonts w:hint="eastAsia" w:ascii="宋体" w:hAnsi="宋体" w:eastAsia="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ind w:left="0" w:leftChars="0" w:firstLine="0" w:firstLineChars="0"/>
                          </w:pPr>
                          <w:r>
                            <w:rPr>
                              <w:rFonts w:hint="eastAsia" w:ascii="宋体" w:hAnsi="宋体" w:eastAsia="宋体"/>
                              <w:sz w:val="28"/>
                            </w:rPr>
                            <w:t xml:space="preserve">— </w:t>
                          </w:r>
                          <w:r>
                            <w:rPr>
                              <w:rFonts w:hint="eastAsia" w:ascii="宋体" w:hAnsi="宋体" w:eastAsia="宋体"/>
                              <w:sz w:val="28"/>
                            </w:rPr>
                            <w:fldChar w:fldCharType="begin"/>
                          </w:r>
                          <w:r>
                            <w:rPr>
                              <w:rFonts w:hint="eastAsia" w:ascii="宋体" w:hAnsi="宋体" w:eastAsia="宋体"/>
                              <w:sz w:val="28"/>
                            </w:rPr>
                            <w:instrText xml:space="preserve"> PAGE \* Arabic \* MERGEFORMAT </w:instrText>
                          </w:r>
                          <w:r>
                            <w:rPr>
                              <w:rFonts w:hint="eastAsia" w:ascii="宋体" w:hAnsi="宋体" w:eastAsia="宋体"/>
                              <w:sz w:val="28"/>
                            </w:rPr>
                            <w:fldChar w:fldCharType="separate"/>
                          </w:r>
                          <w:r>
                            <w:rPr>
                              <w:rFonts w:hint="eastAsia" w:ascii="宋体" w:hAnsi="宋体" w:eastAsia="宋体"/>
                              <w:sz w:val="28"/>
                            </w:rPr>
                            <w:t>4</w:t>
                          </w:r>
                          <w:r>
                            <w:rPr>
                              <w:rFonts w:hint="eastAsia" w:ascii="宋体" w:hAnsi="宋体" w:eastAsia="宋体"/>
                              <w:sz w:val="28"/>
                            </w:rPr>
                            <w:fldChar w:fldCharType="end"/>
                          </w:r>
                          <w:r>
                            <w:rPr>
                              <w:rFonts w:hint="eastAsia" w:ascii="宋体" w:hAnsi="宋体" w:eastAsia="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JIJGtD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15"/>
                      <w:ind w:left="0" w:leftChars="0" w:firstLine="0" w:firstLineChars="0"/>
                    </w:pPr>
                    <w:r>
                      <w:rPr>
                        <w:rFonts w:hint="eastAsia" w:ascii="宋体" w:hAnsi="宋体" w:eastAsia="宋体"/>
                        <w:sz w:val="28"/>
                      </w:rPr>
                      <w:t xml:space="preserve">— </w:t>
                    </w:r>
                    <w:r>
                      <w:rPr>
                        <w:rFonts w:hint="eastAsia" w:ascii="宋体" w:hAnsi="宋体" w:eastAsia="宋体"/>
                        <w:sz w:val="28"/>
                      </w:rPr>
                      <w:fldChar w:fldCharType="begin"/>
                    </w:r>
                    <w:r>
                      <w:rPr>
                        <w:rFonts w:hint="eastAsia" w:ascii="宋体" w:hAnsi="宋体" w:eastAsia="宋体"/>
                        <w:sz w:val="28"/>
                      </w:rPr>
                      <w:instrText xml:space="preserve"> PAGE \* Arabic \* MERGEFORMAT </w:instrText>
                    </w:r>
                    <w:r>
                      <w:rPr>
                        <w:rFonts w:hint="eastAsia" w:ascii="宋体" w:hAnsi="宋体" w:eastAsia="宋体"/>
                        <w:sz w:val="28"/>
                      </w:rPr>
                      <w:fldChar w:fldCharType="separate"/>
                    </w:r>
                    <w:r>
                      <w:rPr>
                        <w:rFonts w:hint="eastAsia" w:ascii="宋体" w:hAnsi="宋体" w:eastAsia="宋体"/>
                        <w:sz w:val="28"/>
                      </w:rPr>
                      <w:t>4</w:t>
                    </w:r>
                    <w:r>
                      <w:rPr>
                        <w:rFonts w:hint="eastAsia" w:ascii="宋体" w:hAnsi="宋体" w:eastAsia="宋体"/>
                        <w:sz w:val="28"/>
                      </w:rPr>
                      <w:fldChar w:fldCharType="end"/>
                    </w:r>
                    <w:r>
                      <w:rPr>
                        <w:rFonts w:hint="eastAsia" w:ascii="宋体" w:hAnsi="宋体" w:eastAsia="宋体"/>
                        <w:sz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32"/>
      </w:pPr>
      <w:r>
        <w:separator/>
      </w:r>
    </w:p>
  </w:footnote>
  <w:footnote w:type="continuationSeparator" w:id="1">
    <w:p>
      <w:pPr>
        <w:spacing w:before="0" w:after="0" w:line="240" w:lineRule="auto"/>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6D73B6"/>
    <w:rsid w:val="1B0B67CC"/>
    <w:rsid w:val="202C74B6"/>
    <w:rsid w:val="23622E2E"/>
    <w:rsid w:val="279F77E7"/>
    <w:rsid w:val="2D7C1406"/>
    <w:rsid w:val="2EE74FC6"/>
    <w:rsid w:val="2FDF2B22"/>
    <w:rsid w:val="31456D6E"/>
    <w:rsid w:val="346E9CC9"/>
    <w:rsid w:val="357F59E6"/>
    <w:rsid w:val="3ABE3508"/>
    <w:rsid w:val="3B75AFF9"/>
    <w:rsid w:val="3BF7A19C"/>
    <w:rsid w:val="3D6ED400"/>
    <w:rsid w:val="40F119D0"/>
    <w:rsid w:val="43BD30A9"/>
    <w:rsid w:val="4C4E6DE4"/>
    <w:rsid w:val="4D5E5C77"/>
    <w:rsid w:val="5D7E492D"/>
    <w:rsid w:val="62FD7BDA"/>
    <w:rsid w:val="68438651"/>
    <w:rsid w:val="6946402E"/>
    <w:rsid w:val="697D7CBC"/>
    <w:rsid w:val="6E6D6C88"/>
    <w:rsid w:val="70823D72"/>
    <w:rsid w:val="72E5625C"/>
    <w:rsid w:val="72FF422F"/>
    <w:rsid w:val="73AD128C"/>
    <w:rsid w:val="73EBF955"/>
    <w:rsid w:val="75FFAA1B"/>
    <w:rsid w:val="76BDCDF1"/>
    <w:rsid w:val="7AC76718"/>
    <w:rsid w:val="7BFFF9F3"/>
    <w:rsid w:val="7CCFF56D"/>
    <w:rsid w:val="7CFD5A72"/>
    <w:rsid w:val="7DDDC8FC"/>
    <w:rsid w:val="7DED9DC6"/>
    <w:rsid w:val="7E7F8250"/>
    <w:rsid w:val="7EAD4B8B"/>
    <w:rsid w:val="7EFB0053"/>
    <w:rsid w:val="7F9062FE"/>
    <w:rsid w:val="7FAB3234"/>
    <w:rsid w:val="7FBF90DD"/>
    <w:rsid w:val="7FBFC911"/>
    <w:rsid w:val="7FDB62E8"/>
    <w:rsid w:val="8A7FB27D"/>
    <w:rsid w:val="B7FAB9C1"/>
    <w:rsid w:val="BDFB6E54"/>
    <w:rsid w:val="C5DB9443"/>
    <w:rsid w:val="CFE98152"/>
    <w:rsid w:val="D1B805F8"/>
    <w:rsid w:val="E7EE8AFB"/>
    <w:rsid w:val="E97F4673"/>
    <w:rsid w:val="EA2EB73B"/>
    <w:rsid w:val="EA979CB4"/>
    <w:rsid w:val="EB79E553"/>
    <w:rsid w:val="EE7F1D23"/>
    <w:rsid w:val="EEFF1A9B"/>
    <w:rsid w:val="EFFFC9EC"/>
    <w:rsid w:val="F2B75448"/>
    <w:rsid w:val="F38EC98D"/>
    <w:rsid w:val="F77BE219"/>
    <w:rsid w:val="F7AE4228"/>
    <w:rsid w:val="F925817F"/>
    <w:rsid w:val="F98BE5B9"/>
    <w:rsid w:val="FBBF5C91"/>
    <w:rsid w:val="FD5F2E96"/>
    <w:rsid w:val="FE8F57D4"/>
    <w:rsid w:val="FF4FD9B2"/>
    <w:rsid w:val="FF7B0D50"/>
    <w:rsid w:val="FFBF0F5F"/>
    <w:rsid w:val="FFC67522"/>
    <w:rsid w:val="FFEEB136"/>
    <w:rsid w:val="FFF47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520" w:lineRule="exact"/>
      <w:ind w:firstLine="880" w:firstLineChars="200"/>
      <w:jc w:val="both"/>
    </w:pPr>
    <w:rPr>
      <w:rFonts w:ascii="Times New Roman" w:hAnsi="Times New Roman" w:eastAsia="方正仿宋_GBK" w:cs="Times New Roman"/>
      <w:kern w:val="2"/>
      <w:sz w:val="32"/>
      <w:lang w:val="en-US" w:eastAsia="zh-CN" w:bidi="ar-SA"/>
    </w:rPr>
  </w:style>
  <w:style w:type="paragraph" w:styleId="3">
    <w:name w:val="heading 1"/>
    <w:basedOn w:val="4"/>
    <w:next w:val="1"/>
    <w:qFormat/>
    <w:uiPriority w:val="0"/>
    <w:pPr>
      <w:spacing w:beforeAutospacing="1" w:afterAutospacing="1"/>
    </w:pPr>
    <w:rPr>
      <w:rFonts w:hint="eastAsia" w:ascii="宋体" w:hAnsi="宋体" w:eastAsia="方正小标宋简体"/>
      <w:b w:val="0"/>
      <w:kern w:val="44"/>
      <w:sz w:val="44"/>
      <w:szCs w:val="48"/>
    </w:rPr>
  </w:style>
  <w:style w:type="paragraph" w:styleId="5">
    <w:name w:val="heading 2"/>
    <w:basedOn w:val="1"/>
    <w:next w:val="1"/>
    <w:link w:val="32"/>
    <w:qFormat/>
    <w:uiPriority w:val="0"/>
    <w:pPr>
      <w:keepNext/>
      <w:keepLines/>
      <w:spacing w:before="260" w:after="260" w:line="416" w:lineRule="auto"/>
      <w:outlineLvl w:val="1"/>
    </w:pPr>
    <w:rPr>
      <w:rFonts w:ascii="等线 Light" w:hAnsi="等线 Light" w:eastAsia="黑体"/>
      <w:b/>
      <w:bCs/>
      <w:szCs w:val="32"/>
    </w:rPr>
  </w:style>
  <w:style w:type="paragraph" w:styleId="6">
    <w:name w:val="heading 3"/>
    <w:basedOn w:val="1"/>
    <w:next w:val="1"/>
    <w:qFormat/>
    <w:uiPriority w:val="0"/>
    <w:pPr>
      <w:keepNext/>
      <w:keepLines/>
      <w:spacing w:before="260" w:after="260" w:line="413" w:lineRule="auto"/>
      <w:jc w:val="left"/>
      <w:outlineLvl w:val="2"/>
    </w:pPr>
    <w:rPr>
      <w:rFonts w:eastAsia="楷体"/>
    </w:rPr>
  </w:style>
  <w:style w:type="paragraph" w:styleId="7">
    <w:name w:val="heading 4"/>
    <w:basedOn w:val="1"/>
    <w:next w:val="1"/>
    <w:qFormat/>
    <w:uiPriority w:val="0"/>
    <w:pPr>
      <w:keepNext/>
      <w:keepLines/>
      <w:spacing w:before="280" w:after="290" w:line="372" w:lineRule="auto"/>
      <w:outlineLvl w:val="3"/>
    </w:pPr>
    <w:rPr>
      <w:rFonts w:ascii="Arial" w:hAnsi="Arial" w:eastAsia="仿宋"/>
      <w:b/>
    </w:rPr>
  </w:style>
  <w:style w:type="character" w:default="1" w:styleId="25">
    <w:name w:val="Default Paragraph Font"/>
    <w:qFormat/>
    <w:uiPriority w:val="1"/>
  </w:style>
  <w:style w:type="table" w:default="1" w:styleId="24">
    <w:name w:val="Normal Table"/>
    <w:qFormat/>
    <w:uiPriority w:val="99"/>
    <w:tblPr>
      <w:tblCellMar>
        <w:top w:w="0" w:type="dxa"/>
        <w:left w:w="108" w:type="dxa"/>
        <w:bottom w:w="0" w:type="dxa"/>
        <w:right w:w="108" w:type="dxa"/>
      </w:tblCellMar>
    </w:tblPr>
  </w:style>
  <w:style w:type="paragraph" w:customStyle="1" w:styleId="2">
    <w:name w:val="EndnoteText"/>
    <w:basedOn w:val="1"/>
    <w:qFormat/>
    <w:uiPriority w:val="0"/>
  </w:style>
  <w:style w:type="paragraph" w:styleId="4">
    <w:name w:val="Title"/>
    <w:basedOn w:val="1"/>
    <w:qFormat/>
    <w:uiPriority w:val="0"/>
    <w:pPr>
      <w:spacing w:before="240" w:after="60"/>
      <w:jc w:val="center"/>
      <w:outlineLvl w:val="0"/>
    </w:pPr>
    <w:rPr>
      <w:rFonts w:ascii="Arial" w:hAnsi="Arial"/>
      <w:b/>
    </w:rPr>
  </w:style>
  <w:style w:type="paragraph" w:styleId="8">
    <w:name w:val="annotation text"/>
    <w:basedOn w:val="1"/>
    <w:qFormat/>
    <w:uiPriority w:val="0"/>
    <w:pPr>
      <w:jc w:val="left"/>
    </w:pPr>
  </w:style>
  <w:style w:type="paragraph" w:styleId="9">
    <w:name w:val="Body Text"/>
    <w:basedOn w:val="1"/>
    <w:qFormat/>
    <w:uiPriority w:val="0"/>
    <w:pPr>
      <w:spacing w:after="120"/>
    </w:pPr>
  </w:style>
  <w:style w:type="paragraph" w:styleId="10">
    <w:name w:val="Body Text Indent"/>
    <w:basedOn w:val="1"/>
    <w:qFormat/>
    <w:uiPriority w:val="0"/>
    <w:pPr>
      <w:spacing w:after="120"/>
      <w:ind w:left="420" w:leftChars="200"/>
    </w:pPr>
    <w:rPr>
      <w:szCs w:val="24"/>
    </w:rPr>
  </w:style>
  <w:style w:type="paragraph" w:styleId="11">
    <w:name w:val="Block Text"/>
    <w:basedOn w:val="1"/>
    <w:qFormat/>
    <w:uiPriority w:val="0"/>
    <w:pPr>
      <w:spacing w:line="640" w:lineRule="exact"/>
      <w:ind w:left="210" w:leftChars="100" w:right="19" w:firstLine="525"/>
    </w:pPr>
    <w:rPr>
      <w:rFonts w:ascii="楷体_GB2312" w:eastAsia="楷体_GB2312"/>
      <w:b/>
      <w:spacing w:val="14"/>
      <w:sz w:val="28"/>
    </w:rPr>
  </w:style>
  <w:style w:type="paragraph" w:styleId="12">
    <w:name w:val="Plain Text"/>
    <w:basedOn w:val="1"/>
    <w:next w:val="1"/>
    <w:qFormat/>
    <w:uiPriority w:val="0"/>
    <w:rPr>
      <w:rFonts w:ascii="宋体" w:hAnsi="Courier New" w:cs="Courier New"/>
      <w:szCs w:val="21"/>
    </w:rPr>
  </w:style>
  <w:style w:type="paragraph" w:styleId="13">
    <w:name w:val="Body Text Indent 2"/>
    <w:basedOn w:val="1"/>
    <w:qFormat/>
    <w:uiPriority w:val="0"/>
    <w:pPr>
      <w:spacing w:after="120" w:line="480" w:lineRule="auto"/>
      <w:ind w:left="420" w:leftChars="200"/>
    </w:pPr>
  </w:style>
  <w:style w:type="paragraph" w:styleId="14">
    <w:name w:val="endnote text"/>
    <w:basedOn w:val="1"/>
    <w:next w:val="9"/>
    <w:qFormat/>
    <w:uiPriority w:val="0"/>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next w:val="17"/>
    <w:qFormat/>
    <w:uiPriority w:val="0"/>
    <w:pPr>
      <w:tabs>
        <w:tab w:val="center" w:pos="4153"/>
        <w:tab w:val="right" w:pos="8306"/>
      </w:tabs>
      <w:snapToGrid w:val="0"/>
      <w:jc w:val="center"/>
    </w:pPr>
    <w:rPr>
      <w:sz w:val="18"/>
      <w:szCs w:val="18"/>
    </w:rPr>
  </w:style>
  <w:style w:type="paragraph" w:customStyle="1" w:styleId="17">
    <w:name w:val="_Style 3"/>
    <w:next w:val="1"/>
    <w:qFormat/>
    <w:uiPriority w:val="0"/>
    <w:pPr>
      <w:wordWrap w:val="0"/>
      <w:spacing w:before="200" w:after="160"/>
      <w:ind w:left="3680" w:right="864"/>
      <w:jc w:val="center"/>
    </w:pPr>
    <w:rPr>
      <w:rFonts w:ascii="Times New Roman" w:hAnsi="Times New Roman" w:eastAsia="宋体" w:cs="Times New Roman"/>
      <w:i/>
      <w:lang w:val="en-US" w:eastAsia="zh-CN" w:bidi="ar-SA"/>
    </w:rPr>
  </w:style>
  <w:style w:type="paragraph" w:styleId="18">
    <w:name w:val="Body Text Indent 3"/>
    <w:basedOn w:val="1"/>
    <w:qFormat/>
    <w:uiPriority w:val="0"/>
    <w:pPr>
      <w:spacing w:after="120"/>
      <w:ind w:left="420" w:leftChars="200"/>
    </w:pPr>
    <w:rPr>
      <w:sz w:val="16"/>
      <w:szCs w:val="16"/>
    </w:rPr>
  </w:style>
  <w:style w:type="paragraph" w:styleId="19">
    <w:name w:val="Body Text 2"/>
    <w:basedOn w:val="1"/>
    <w:qFormat/>
    <w:uiPriority w:val="0"/>
    <w:pPr>
      <w:spacing w:after="120" w:line="480" w:lineRule="auto"/>
    </w:pPr>
    <w:rPr>
      <w:rFonts w:eastAsia="宋体"/>
    </w:rPr>
  </w:style>
  <w:style w:type="paragraph" w:styleId="20">
    <w:name w:val="Normal (Web)"/>
    <w:basedOn w:val="1"/>
    <w:qFormat/>
    <w:uiPriority w:val="0"/>
    <w:pPr>
      <w:spacing w:before="100" w:beforeAutospacing="1" w:after="100" w:afterAutospacing="1"/>
      <w:jc w:val="left"/>
    </w:pPr>
    <w:rPr>
      <w:kern w:val="0"/>
      <w:sz w:val="24"/>
    </w:rPr>
  </w:style>
  <w:style w:type="paragraph" w:styleId="21">
    <w:name w:val="Body Text First Indent 2"/>
    <w:basedOn w:val="22"/>
    <w:qFormat/>
    <w:uiPriority w:val="0"/>
    <w:pPr>
      <w:ind w:firstLine="420" w:firstLineChars="200"/>
    </w:pPr>
  </w:style>
  <w:style w:type="paragraph" w:customStyle="1" w:styleId="22">
    <w:name w:val="正文缩进1"/>
    <w:basedOn w:val="23"/>
    <w:qFormat/>
    <w:uiPriority w:val="0"/>
    <w:pPr>
      <w:spacing w:after="120"/>
      <w:ind w:left="420" w:leftChars="200"/>
    </w:pPr>
  </w:style>
  <w:style w:type="paragraph" w:customStyle="1" w:styleId="23">
    <w:name w:val="正文1"/>
    <w:next w:val="21"/>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styleId="26">
    <w:name w:val="Strong"/>
    <w:basedOn w:val="25"/>
    <w:qFormat/>
    <w:uiPriority w:val="99"/>
    <w:rPr>
      <w:b/>
      <w:bCs/>
    </w:rPr>
  </w:style>
  <w:style w:type="character" w:styleId="27">
    <w:name w:val="page number"/>
    <w:qFormat/>
    <w:uiPriority w:val="0"/>
  </w:style>
  <w:style w:type="character" w:styleId="28">
    <w:name w:val="FollowedHyperlink"/>
    <w:basedOn w:val="25"/>
    <w:qFormat/>
    <w:uiPriority w:val="0"/>
    <w:rPr>
      <w:color w:val="800080"/>
      <w:u w:val="single"/>
    </w:rPr>
  </w:style>
  <w:style w:type="character" w:styleId="29">
    <w:name w:val="Hyperlink"/>
    <w:basedOn w:val="25"/>
    <w:qFormat/>
    <w:uiPriority w:val="0"/>
    <w:rPr>
      <w:color w:val="0000FF"/>
      <w:u w:val="single"/>
    </w:rPr>
  </w:style>
  <w:style w:type="paragraph" w:customStyle="1" w:styleId="30">
    <w:name w:val="样式 文字 + 首行缩进:  2 字符3"/>
    <w:basedOn w:val="1"/>
    <w:qFormat/>
    <w:uiPriority w:val="0"/>
    <w:pPr>
      <w:spacing w:line="360" w:lineRule="auto"/>
      <w:jc w:val="left"/>
    </w:pPr>
    <w:rPr>
      <w:sz w:val="28"/>
      <w:szCs w:val="28"/>
    </w:rPr>
  </w:style>
  <w:style w:type="paragraph" w:customStyle="1" w:styleId="31">
    <w:name w:val="TOC2"/>
    <w:basedOn w:val="1"/>
    <w:next w:val="1"/>
    <w:qFormat/>
    <w:uiPriority w:val="0"/>
    <w:pPr>
      <w:ind w:left="420" w:leftChars="200"/>
      <w:textAlignment w:val="baseline"/>
    </w:pPr>
  </w:style>
  <w:style w:type="character" w:customStyle="1" w:styleId="32">
    <w:name w:val="标题 2 字符"/>
    <w:link w:val="5"/>
    <w:qFormat/>
    <w:uiPriority w:val="0"/>
    <w:rPr>
      <w:rFonts w:ascii="等线 Light" w:hAnsi="等线 Light" w:eastAsia="黑体"/>
      <w:b/>
      <w:bCs/>
      <w:szCs w:val="32"/>
    </w:rPr>
  </w:style>
  <w:style w:type="paragraph" w:customStyle="1" w:styleId="33">
    <w:name w:val="BodyText"/>
    <w:basedOn w:val="1"/>
    <w:next w:val="1"/>
    <w:qFormat/>
    <w:uiPriority w:val="0"/>
    <w:pPr>
      <w:widowControl/>
      <w:spacing w:line="360" w:lineRule="auto"/>
      <w:ind w:firstLine="936"/>
      <w:jc w:val="left"/>
      <w:textAlignment w:val="baseline"/>
    </w:pPr>
    <w:rPr>
      <w:rFonts w:eastAsia="仿宋_GB2312"/>
      <w:sz w:val="28"/>
      <w:szCs w:val="24"/>
    </w:rPr>
  </w:style>
  <w:style w:type="paragraph" w:customStyle="1" w:styleId="34">
    <w:name w:val="正文首行缩进1"/>
    <w:basedOn w:val="9"/>
    <w:qFormat/>
    <w:uiPriority w:val="0"/>
    <w:pPr>
      <w:ind w:firstLine="420" w:firstLineChars="100"/>
    </w:pPr>
  </w:style>
  <w:style w:type="paragraph" w:customStyle="1" w:styleId="35">
    <w:name w:val="null3"/>
    <w:qFormat/>
    <w:uiPriority w:val="0"/>
    <w:pPr>
      <w:spacing w:after="160" w:line="278" w:lineRule="auto"/>
    </w:pPr>
    <w:rPr>
      <w:rFonts w:hint="eastAsia" w:ascii="Calibri" w:hAnsi="Calibri" w:eastAsia="宋体" w:cs="宋体"/>
      <w:lang w:val="en-US" w:bidi="ar-SA"/>
    </w:rPr>
  </w:style>
  <w:style w:type="character" w:customStyle="1" w:styleId="36">
    <w:name w:val="font112"/>
    <w:basedOn w:val="25"/>
    <w:qFormat/>
    <w:uiPriority w:val="0"/>
    <w:rPr>
      <w:rFonts w:ascii="方正书宋_GBK" w:hAnsi="方正书宋_GBK" w:eastAsia="方正书宋_GBK" w:cs="方正书宋_GBK"/>
      <w:color w:val="000000"/>
      <w:sz w:val="18"/>
      <w:szCs w:val="18"/>
      <w:u w:val="none"/>
    </w:rPr>
  </w:style>
  <w:style w:type="character" w:customStyle="1" w:styleId="37">
    <w:name w:val="font41"/>
    <w:basedOn w:val="25"/>
    <w:qFormat/>
    <w:uiPriority w:val="0"/>
    <w:rPr>
      <w:rFonts w:hint="eastAsia" w:ascii="仿宋_GB2312" w:eastAsia="仿宋_GB2312" w:cs="仿宋_GB2312"/>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1469</Words>
  <Characters>1510</Characters>
  <Paragraphs>41</Paragraphs>
  <TotalTime>0</TotalTime>
  <ScaleCrop>false</ScaleCrop>
  <LinksUpToDate>false</LinksUpToDate>
  <CharactersWithSpaces>1510</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2025-11-07T06:45:00Z</dcterms:created>
  <dc:creator>LCT</dc:creator>
  <cp:lastModifiedBy>greatwall</cp:lastModifiedBy>
  <cp:lastPrinted>2026-03-31T11:34:00Z</cp:lastPrinted>
  <dcterms:modified xsi:type="dcterms:W3CDTF">2026-09-09T11:07:45Z</dcterms:modified>
  <dc:title>办文说明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340E7A7871CD49DAB7C2587854EEE9D7_13</vt:lpwstr>
  </property>
  <property fmtid="{D5CDD505-2E9C-101B-9397-08002B2CF9AE}" pid="4" name="KSOTemplateDocerSaveRecord">
    <vt:lpwstr>eyJoZGlkIjoiZTI5N2IzNjFjZjE3Yjk4OThkNWQ0ZTFiZDZiYjZiMTciLCJ1c2VySWQiOiIxNTg4MTM4Nzk4In0=</vt:lpwstr>
  </property>
</Properties>
</file>