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lang w:val="en-US" w:eastAsia="zh-CN"/>
        </w:rPr>
      </w:pPr>
      <w:r>
        <w:rPr>
          <w:rFonts w:hint="eastAsia" w:ascii="Times New Roman" w:hAnsi="Times New Roman" w:eastAsia="黑体" w:cs="黑体"/>
          <w:lang w:eastAsia="zh-CN"/>
        </w:rPr>
        <w:t>附件</w:t>
      </w:r>
      <w:r>
        <w:rPr>
          <w:rFonts w:hint="eastAsia" w:ascii="Times New Roman" w:hAnsi="Times New Roman" w:eastAsia="黑体" w:cs="黑体"/>
          <w:lang w:val="en-US" w:eastAsia="zh-CN"/>
        </w:rPr>
        <w:t>1</w:t>
      </w:r>
    </w:p>
    <w:p>
      <w:pPr>
        <w:jc w:val="center"/>
        <w:rPr>
          <w:rFonts w:hint="default"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2023年度揭榜挂帅、十大技术攻关与成果转化项目验收结果表</w:t>
      </w: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612"/>
        <w:gridCol w:w="6317"/>
        <w:gridCol w:w="407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blHead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项目类别</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承担单位</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十大技术攻关项目</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高比能动力电池关键材料核心技术及产业化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湖南金富力新能源股份有限公司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高性能电解水制氢用复合电极材料的开发与产业化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常德重塑澎湃新材料科技有限公司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动物胆资源综合开发技术及产业化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常德云港生物科技股份有限公司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高端智能工程装备制造及核心零部件技术及产业化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中联重科建筑起重机械有限责任公司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氢能高压气态储运关键技术及产业化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湖南响箭重工科技股份有限公司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某平台预制研制一体化技术及产业化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中联恒通机械有限公司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7</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南方智能化绿色化农机关键技术及产业化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湖南中联重科智能农机有限责任公司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地屈孕酮原材料颠覆性技术及产业化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湖南新合新生物医药有限公司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高性能特种复合材料开发技术及产业化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湖南中泰特种装备有限责任公司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10</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民用航空用钛合金材料关键技术及产业化研究</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湖南飞沃新能源科技股份有限公司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2022年延期揭榜挂帅项目</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环洞庭湖芦苇高值化绿色关键共性技术开发与产业化</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安乡汉创新材料科技有限公司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bl>
    <w:p>
      <w:pPr>
        <w:rPr>
          <w:rFonts w:ascii="Times New Roman" w:hAnsi="Times New Roman"/>
        </w:rPr>
      </w:pPr>
      <w:r>
        <w:rPr>
          <w:rFonts w:ascii="Times New Roman" w:hAnsi="Times New Roman"/>
        </w:rPr>
        <w:br w:type="page"/>
      </w:r>
    </w:p>
    <w:p>
      <w:pPr>
        <w:rPr>
          <w:rFonts w:hint="eastAsia" w:ascii="Times New Roman" w:hAnsi="Times New Roman" w:eastAsia="黑体" w:cs="黑体"/>
          <w:lang w:val="en-US" w:eastAsia="zh-CN"/>
        </w:rPr>
      </w:pPr>
      <w:r>
        <w:rPr>
          <w:rFonts w:hint="eastAsia" w:ascii="Times New Roman" w:hAnsi="Times New Roman" w:eastAsia="黑体" w:cs="黑体"/>
          <w:lang w:eastAsia="zh-CN"/>
        </w:rPr>
        <w:t>附件</w:t>
      </w:r>
      <w:r>
        <w:rPr>
          <w:rFonts w:hint="eastAsia" w:ascii="Times New Roman" w:hAnsi="Times New Roman" w:eastAsia="黑体" w:cs="黑体"/>
          <w:lang w:val="en-US" w:eastAsia="zh-CN"/>
        </w:rPr>
        <w:t>2</w:t>
      </w:r>
    </w:p>
    <w:p>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2023年度技术研发及创新引导项目验收结果表</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6"/>
        <w:gridCol w:w="7544"/>
        <w:gridCol w:w="4024"/>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blHead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承担单位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复杂工况下高速模切在线智能收集、捆扎及堆垛集成技术攻关与应用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常德金鹏印务有限公司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新型耐磨全密封渣浆泵的研究开发</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湖南德沃农业机械销售有限公司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湘林宇LY22SL型城乡综合动力全地面扫路机技术与工艺研制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湖南林宇科技发展股份有限公司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基于数字化应用的高速商标印刷机的研发</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常德同达机械制造有限公司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高性能经编机曲轴智能化生产的研究与应用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常德纺织机械有限公司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高效安全智能数控锯切加工设备的开发</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湖南金立星机械科技有限公司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便捷联接轨链科技创新团队</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湖南三特机械制造有限公司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多功能婴幼儿童车的创新设计研究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常德益翔实业有限公司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燃气泄漏</w:t>
            </w:r>
            <w:bookmarkStart w:id="0" w:name="_GoBack"/>
            <w:bookmarkEnd w:id="0"/>
            <w:r>
              <w:rPr>
                <w:rFonts w:hint="eastAsia" w:ascii="Times New Roman" w:hAnsi="Times New Roman" w:eastAsia="宋体" w:cs="宋体"/>
                <w:i w:val="0"/>
                <w:iCs w:val="0"/>
                <w:color w:val="000000"/>
                <w:kern w:val="0"/>
                <w:sz w:val="24"/>
                <w:szCs w:val="24"/>
                <w:u w:val="none"/>
                <w:lang w:val="en-US" w:eastAsia="zh-CN" w:bidi="ar"/>
              </w:rPr>
              <w:t>报警大数据平台研发项目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常德市金佰特节能环保科技有限公司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灯带控制器的防潮型PCB板的研发及产业化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常德市捷芯微电子科技有限公司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高品质音膜制造工艺技术研发及产业化项目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石门县达韵电子有限公司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陶瓷包覆镍钴锰酸锂材料技术研发与转化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湖南善德储能新材料研究院有限公司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一种高性能汽车内饰水性涂料的制备与研究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湖南太子化工涂料有限公司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塔机圆榫标节主弦杆厚壁 ERW 直缝焊管项目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湖南宝顺联冷弯科技有限公司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焙烧炉节能减排研发项目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湖南嘉力亚新材料有限公司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聚烯烃编织布用熔融接枝改性热熔胶关键技术开发与产业化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湖南安福环保科技股份有限公司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利用石灰石矿制备超细轻质碳酸钙工艺研究及产业化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湖南鑫众钙业股份有限公司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车用碳纤维复合材料制造技术研究与应用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湖南欧亚碳纤维复合材料有限公司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全生命周期绿色低碳装配式建筑关键技术及其应用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湖南恒邦建工有限公司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新型轻质复合节能隔墙板的研发及应用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湖南翔雅建筑工程有限公司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利用磁控溅射制作非晶硅金属背电极的研发项目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湖南旭昱新能源科技有限公司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高能效智能光伏变压器系统关键技术研发与产业化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常德国力变压器有限公司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新型圆柱型锂电池研究与应用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常德德锂新能源科技有限公司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航空用高速燃油泵技术及产业化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湖南高创翔宇科技有限公司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常德市新发传染病病原监测与研究分析</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常德市疾病预防控制中心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神经系统药物拉莫三嗪原料药及缓控释制剂关键技术研究与产业化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三金集团湖南三金制药有限责任公司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辅酶Q10提取关键技术研究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湖南祥民制药有限公司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高档棉纱关键工艺技术研究与产业化项目</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湖南东信棉业（常德）有限公司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建立湘北地区传统酱香白酒微生物菌种库</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湖南武陵酒有限公司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节能环保管道的研发及应用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湖南森鸿环保建材有限公司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加工型甜瓜新品种选育与加工技术研究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常德市农林科学研究院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豇豆绿色加工关键技术研发与应用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常德市农林科学研究院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基于智能化乳品质量提升关键技术研究及健康功能产品研发</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湖南上优食品科技有限公司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高品质枳壳饮片加工工艺的关键技术研发及产业化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汉寿县百禄桥镇鸿日枳壳专业合作社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高安全性魔芋仿生即食食品的研究与产业化应用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湖南香生坊食品有限公司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油茶籽粕发酵制取糖萜素及替抗饲料研发与产业化</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湖南省康多利油脂有限公司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有机眉茶智能化精深加工技术研发及应用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湖南壶瓶山茶业有限公司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有效保留原茶香提取方法的研究与应用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石门县同创土特产有限公司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紫苏种植及深加工技术研究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临澧县鸿发蔬菜种植专业合作社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淡水鱼产品开发和深加工工艺与技术研究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湖南创奇食品有限公司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千亩香稻绿色高产栽培技术示范与推广</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常德市稻鸭生态农业开发有限公司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种植苗木草皮技术研究与应用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常德市荣发农业发展有限责任公司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高档水果优质高效栽培技术研究与示范</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常德博果苑种植农民专业合作社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高档优质稻“农香42”、“常农丝苗”的高产绿色栽培示范</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常德市昌源农作物种植专业合作社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皇菊优质高效栽培及加工技术研究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桃源县万羊山生态农业科技发展有限公司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水产全产业链关键技术研究与示范</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常德市青螺滩水产养殖有限公司</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青蛙套养水蛭关键技术研究与示范</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安乡县银丰水产养殖专业合作社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猕猴桃软腐病绿色防控关键技术集成与示范</w:t>
            </w:r>
          </w:p>
        </w:tc>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湖南文理学院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老年痴呆症标志物的检测及应用</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甲鱼蛋功能成分提取及产品开发</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一种抗HIV药物可比司它的抗血小板聚集和血栓作用研究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高镍无钴正极材料关键技术研究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朝鲜蓟多酚提取物对小鼠铅中毒的保护机制研究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师范生新媒介素养培育研究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吴茱萸绿色高效栽培技术集成、创新与示范</w:t>
            </w:r>
          </w:p>
        </w:tc>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常德职业技术学院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清热解毒活血中药应用治疗稳定型心绞痛的临床疗效研究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洞庭湖高顶鳞皮蚌营养价值研究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湖南应用技术学院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陶瓷生产中的3D打印技术应用研究与实践</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湖南幼儿师范高等专科学校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无症状性颈动脉狭窄患者不同治疗方式后的临床结局研究</w:t>
            </w:r>
          </w:p>
        </w:tc>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常德市第一人民医院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肿瘤微环境与非小细胞癌患者行新辅助治疗预后的相关性研究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61</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Phospholipase D信号通路在妊娠期糖尿病发生中的作用机制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62</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脑、颈血管超声联合血清炎症因子对缺血性脑卒中的相关性研究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63</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基于快速外科康复理念的路径式护理对复杂性输尿管结石患者的影响</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64</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CHI3L1在多发性骨髓瘤中的临床价值及相关功能研究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65</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基于马斯洛人类需求层次理论的家庭会议模式构建对肿瘤安宁疗护患者的应用的研究</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常德市第二人民医院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66</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养老机构老年人身体约束评估体系构建及应用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常德市第一中医医院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67</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ACTRIIB受体N-糖基化在鼻咽癌肿瘤细胞膜分布及对细胞增殖的影响</w:t>
            </w:r>
          </w:p>
        </w:tc>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湘雅常德医院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68</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经尿道柱状水囊前列腺扩开术治疗小体积前列腺增生的临床疗效分析</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69</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高甘油三脂血症性急性胰腺炎防控方案研究</w:t>
            </w:r>
          </w:p>
        </w:tc>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优秀</w:t>
            </w:r>
          </w:p>
        </w:tc>
      </w:tr>
    </w:tbl>
    <w:p>
      <w:pPr>
        <w:rPr>
          <w:rFonts w:hint="default" w:ascii="Times New Roman" w:hAnsi="Times New Roman"/>
          <w:lang w:val="en-US" w:eastAsia="zh-CN"/>
        </w:rPr>
      </w:pPr>
    </w:p>
    <w:p>
      <w:pPr>
        <w:rPr>
          <w:rFonts w:hint="default" w:ascii="Times New Roman" w:hAnsi="Times New Roman"/>
          <w:lang w:val="en-US" w:eastAsia="zh-CN"/>
        </w:rPr>
      </w:pPr>
      <w:r>
        <w:rPr>
          <w:rFonts w:hint="default" w:ascii="Times New Roman" w:hAnsi="Times New Roman"/>
          <w:lang w:val="en-US" w:eastAsia="zh-CN"/>
        </w:rPr>
        <w:br w:type="page"/>
      </w:r>
    </w:p>
    <w:p>
      <w:pPr>
        <w:rPr>
          <w:rFonts w:hint="eastAsia" w:ascii="Times New Roman" w:hAnsi="Times New Roman" w:eastAsia="黑体" w:cs="黑体"/>
          <w:lang w:val="en-US" w:eastAsia="zh-CN"/>
        </w:rPr>
      </w:pPr>
      <w:r>
        <w:rPr>
          <w:rFonts w:hint="eastAsia" w:ascii="Times New Roman" w:hAnsi="Times New Roman" w:eastAsia="黑体" w:cs="黑体"/>
          <w:lang w:val="en-US" w:eastAsia="zh-CN"/>
        </w:rPr>
        <w:t>附件3</w:t>
      </w:r>
    </w:p>
    <w:p>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2022</w:t>
      </w:r>
      <w:r>
        <w:rPr>
          <w:rStyle w:val="4"/>
          <w:rFonts w:ascii="Times New Roman" w:hAnsi="Times New Roman"/>
          <w:lang w:val="en-US" w:eastAsia="zh-CN" w:bidi="ar"/>
        </w:rPr>
        <w:t>年度延期项目验收结果表</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8956"/>
        <w:gridCol w:w="237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blHead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承担单位</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改良型容积黏度试验在神经系统变性疾病中的应用</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常德市第一人民医院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动态人力资源管理模式在门诊采血岗中的应用研究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肝硬化失代偿期患者出院后早期再入院的预测模型构建与评价</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多模态靶向性纳米探针对胰腺癌分子成像及磁热治疗的研究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急性一氧化碳中毒预后风险模型构建与应用</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ECMO 治疗中凝血系统障碍患者危险因素分析及风险预测模型研究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7</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0.01% 低浓度阿托品滴眼液联合角膜塑形镜控制治疗青少年中低度近视</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TET2调控肾小管上皮细胞炎症反应参与脓毒血症 急性肾损伤的作用和机制研究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改良Yokoyama术治疗高度近视眼继发性内斜视</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10</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大柴胡汤合黄连解毒汤治疗急性胰腺炎合并酮症酸中毒的疗效研究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11</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老年护理敏感指标体系在老年轻度认知功能障碍患者护理中的应用</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12</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周围神经显微减压术治疗糖尿病性周围神经病</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13</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基于NF-κB信号通路探讨开郁祛核方治疗梅核气（慢性反流性咽炎）的作用机制</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常德市第一中医医院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14</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ctDNA监测指导肺癌免疫治疗寡进展分层处理的价值研究</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湘雅常德医院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15</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个体化营养干预对慢阻肺合并肌少-骨质疏松症影响的随机对照研究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16</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悬吊训练疗法对促进产妇产后腹壁和盆底肌肉功能恢复效果的研究</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常德市妇幼保健院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17</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常德市常见耳聋基因突变位点人群携带状况的调研</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18</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替罗非班治疗急性进展性脑梗死的临床疗效观察</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常德市第四人民医院</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19</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多种炎症指标早期预警输尿管结石术后发生尿源性脓毒血症的临床研究</w:t>
            </w: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合格</w:t>
            </w:r>
          </w:p>
        </w:tc>
      </w:tr>
    </w:tbl>
    <w:p>
      <w:pPr>
        <w:rPr>
          <w:rFonts w:hint="default" w:ascii="Times New Roman" w:hAnsi="Times New Roman"/>
          <w:lang w:val="en-US" w:eastAsia="zh-CN"/>
        </w:rPr>
      </w:pPr>
    </w:p>
    <w:p>
      <w:pPr>
        <w:rPr>
          <w:rFonts w:hint="default" w:ascii="Times New Roman" w:hAnsi="Times New Roman"/>
          <w:lang w:val="en-US" w:eastAsia="zh-CN"/>
        </w:rPr>
      </w:pPr>
      <w:r>
        <w:rPr>
          <w:rFonts w:hint="default" w:ascii="Times New Roman" w:hAnsi="Times New Roman"/>
          <w:lang w:val="en-US" w:eastAsia="zh-CN"/>
        </w:rPr>
        <w:br w:type="page"/>
      </w:r>
    </w:p>
    <w:p>
      <w:pPr>
        <w:rPr>
          <w:rFonts w:hint="eastAsia" w:ascii="Times New Roman" w:hAnsi="Times New Roman" w:eastAsia="黑体" w:cs="黑体"/>
          <w:lang w:val="en-US" w:eastAsia="zh-CN"/>
        </w:rPr>
      </w:pPr>
      <w:r>
        <w:rPr>
          <w:rFonts w:hint="eastAsia" w:ascii="Times New Roman" w:hAnsi="Times New Roman" w:eastAsia="黑体" w:cs="黑体"/>
          <w:lang w:val="en-US" w:eastAsia="zh-CN"/>
        </w:rPr>
        <w:t>附件4</w:t>
      </w:r>
    </w:p>
    <w:p>
      <w:pPr>
        <w:jc w:val="center"/>
        <w:rPr>
          <w:rFonts w:hint="eastAsia" w:ascii="Times New Roman" w:hAnsi="Times New Roman"/>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2023年度延期项目表</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195"/>
        <w:gridCol w:w="6399"/>
        <w:gridCol w:w="4071"/>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项目类别</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承担单位</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十大项目</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航空用钛合金材料关键技术及产业化</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湖南湘投金天钛业科技股份有限公司</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技术研发</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废旧磷酸铁锂电池正极材料回收工艺研究及产业化</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湖南天泰天润新能源科技有限公司</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评价宫颈治疗支架对持续性高危型HPV感染治疗有效性和安全性的前瞻性研究</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常德市第一人民医院</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羟基磷灰石PA66人工椎体表面复合微球载药涂层的构建及体外释药特性研究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布美他尼对青光眼视网膜神经节细胞的保护作用及其机制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自体浓缩生长因子联合微针在雄激素源性脱发中的临床应用研究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重症超声评估急性呼吸窘迫综合征患者肺复张及滴定PEEP的临床研究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常德市轻型脑卒中和 TIA 患者精准化治疗--CYP2C19 基因携带人群的双联抗血小板策略选择</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SMILE 术与 ICL 术对于眼表及睑板腺功能影响的对比研究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腹膜平衡试验联合实验室相关指标在CKD5期腹膜透析患者治疗中的预后和作用的研究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针刺肩颈肌筋膜触发点联合星状神经节阻滞治疗偏头痛的临床研究</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常德市第二人民医院</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基于TLR4/NF-κB/NLRP3通路调控小胶质细胞极化探讨桂枝茯苓丸治疗缺血性脑卒中的机制研究</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常德市第一中医医院</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自血疗法对慢性阻塞性肺疾病的临床疗效观察</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腕关节镜技术辅助微创治疗桡骨远端骨折的临床应用</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复方蛋黄油膏+银离子制剂治疗 2 期压力性损伤的临床疗效</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一对一导师制的护理见习生培养路径研究</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基于NO-GC-cGMP-GPK信号研究补阳还五汤各有效部位对神经细胞的作用</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18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创新引导</w:t>
            </w:r>
          </w:p>
        </w:tc>
        <w:tc>
          <w:tcPr>
            <w:tcW w:w="2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男性原发不育患者精子受精能力与磷酸酯酶Cζ相关性研究</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常德市妇幼保健院</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宋体"/>
                <w:i w:val="0"/>
                <w:iCs w:val="0"/>
                <w:color w:val="000000"/>
                <w:sz w:val="24"/>
                <w:szCs w:val="24"/>
                <w:u w:val="none"/>
              </w:rPr>
            </w:pPr>
          </w:p>
        </w:tc>
      </w:tr>
    </w:tbl>
    <w:p>
      <w:pPr>
        <w:rPr>
          <w:rFonts w:hint="default" w:ascii="Times New Roman" w:hAnsi="Times New Roman"/>
          <w:lang w:val="en-US" w:eastAsia="zh-CN"/>
        </w:rPr>
      </w:pPr>
    </w:p>
    <w:sectPr>
      <w:pgSz w:w="16838" w:h="11906" w:orient="landscape"/>
      <w:pgMar w:top="1701" w:right="1531" w:bottom="1587" w:left="1531" w:header="851" w:footer="1162" w:gutter="0"/>
      <w:cols w:space="0" w:num="1"/>
      <w:titlePg/>
      <w:rtlGutter w:val="0"/>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30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E358C"/>
    <w:rsid w:val="29656152"/>
    <w:rsid w:val="2E703417"/>
    <w:rsid w:val="44F52628"/>
    <w:rsid w:val="4EDD0D15"/>
    <w:rsid w:val="68DF5D12"/>
    <w:rsid w:val="702E358C"/>
    <w:rsid w:val="73F23645"/>
    <w:rsid w:val="DF5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color w:val="auto"/>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方正小标宋简体" w:hAnsi="方正小标宋简体" w:eastAsia="方正小标宋简体" w:cs="方正小标宋简体"/>
      <w:color w:val="000000"/>
      <w:sz w:val="44"/>
      <w:szCs w:val="4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2025-11-28T10:37:00Z</dcterms:created>
  <dc:creator>李凤</dc:creator>
  <cp:lastModifiedBy>greatwall</cp:lastModifiedBy>
  <dcterms:modified xsi:type="dcterms:W3CDTF">2026-06-24T16:56:42Z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14416FDEE91E4E448686CD50D2E3D7B2_11</vt:lpwstr>
  </property>
  <property fmtid="{D5CDD505-2E9C-101B-9397-08002B2CF9AE}" pid="4" name="KSOTemplateDocerSaveRecord">
    <vt:lpwstr>eyJoZGlkIjoiZWQ1ZTRiNTFlZGUyNDlmZTZjNDhhNDY0ZTBhMGE3ZTAiLCJ1c2VySWQiOiI0NTQ3ODQ4MzUifQ==</vt:lpwstr>
  </property>
</Properties>
</file>