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firstLineChars="0"/>
        <w:jc w:val="left"/>
        <w:rPr>
          <w:rFonts w:ascii="Times New Roman" w:hAnsi="Times New Roman" w:eastAsia="方正黑体_GBK"/>
        </w:rPr>
      </w:pPr>
      <w:r>
        <w:rPr>
          <w:rFonts w:ascii="Times New Roman" w:hAnsi="Times New Roman" w:eastAsia="方正黑体_GBK"/>
        </w:rPr>
        <w:t>附件</w:t>
      </w:r>
    </w:p>
    <w:p>
      <w:pPr>
        <w:pStyle w:val="9"/>
        <w:spacing w:after="0" w:line="480" w:lineRule="exact"/>
        <w:ind w:left="0" w:leftChars="0" w:firstLine="0" w:firstLineChars="0"/>
        <w:jc w:val="center"/>
        <w:rPr>
          <w:rFonts w:hint="eastAsia" w:ascii="Times New Roman" w:hAnsi="Times New Roman" w:eastAsia="方正小标宋简体" w:cs="方正小标宋简体"/>
          <w:sz w:val="44"/>
        </w:rPr>
      </w:pPr>
      <w:r>
        <w:rPr>
          <w:rFonts w:hint="eastAsia" w:eastAsia="方正小标宋简体" w:cs="方正小标宋简体"/>
          <w:sz w:val="44"/>
          <w:lang w:eastAsia="zh-CN"/>
        </w:rPr>
        <w:t>常德市科学技术局</w:t>
      </w:r>
      <w:r>
        <w:rPr>
          <w:rFonts w:hint="eastAsia" w:ascii="Times New Roman" w:hAnsi="Times New Roman" w:eastAsia="方正小标宋简体" w:cs="方正小标宋简体"/>
          <w:sz w:val="44"/>
        </w:rPr>
        <w:t>2026年度涉企行政检查计划</w:t>
      </w:r>
    </w:p>
    <w:p>
      <w:pPr>
        <w:keepNext w:val="0"/>
        <w:keepLines w:val="0"/>
        <w:pageBreakBefore w:val="0"/>
        <w:widowControl w:val="0"/>
        <w:kinsoku/>
        <w:wordWrap/>
        <w:overflowPunct/>
        <w:topLinePunct w:val="0"/>
        <w:autoSpaceDE/>
        <w:autoSpaceDN/>
        <w:bidi w:val="0"/>
        <w:adjustRightInd/>
        <w:snapToGrid/>
        <w:spacing w:before="292" w:beforeLines="50" w:after="160" w:line="440" w:lineRule="exact"/>
        <w:ind w:left="0" w:leftChars="0" w:right="0" w:rightChars="0" w:firstLine="0" w:firstLineChars="0"/>
        <w:jc w:val="left"/>
        <w:textAlignment w:val="auto"/>
        <w:outlineLvl w:val="9"/>
        <w:rPr>
          <w:rFonts w:hint="default" w:ascii="Times New Roman" w:hAnsi="Times New Roman" w:eastAsia="方正小标宋简体" w:cs="方正小标宋简体"/>
          <w:sz w:val="44"/>
          <w:lang w:val="en-US"/>
        </w:rPr>
      </w:pPr>
      <w:r>
        <w:rPr>
          <w:rFonts w:hint="eastAsia" w:ascii="Times New Roman" w:hAnsi="Times New Roman" w:eastAsia="楷体_GB2312"/>
          <w:kern w:val="0"/>
          <w:sz w:val="28"/>
          <w:szCs w:val="28"/>
        </w:rPr>
        <w:t>填报单位（盖章）：</w:t>
      </w:r>
      <w:r>
        <w:rPr>
          <w:rFonts w:hint="eastAsia" w:eastAsia="楷体_GB2312"/>
          <w:kern w:val="0"/>
          <w:sz w:val="28"/>
          <w:szCs w:val="28"/>
          <w:lang w:eastAsia="zh-CN"/>
        </w:rPr>
        <w:t>常德市科学技术局</w:t>
      </w:r>
      <w:r>
        <w:rPr>
          <w:rFonts w:hint="eastAsia" w:ascii="Times New Roman" w:hAnsi="Times New Roman" w:eastAsia="楷体_GB2312"/>
          <w:kern w:val="0"/>
          <w:sz w:val="28"/>
          <w:szCs w:val="28"/>
          <w:lang w:val="en-US" w:eastAsia="zh-CN"/>
        </w:rPr>
        <w:t xml:space="preserve">                              </w:t>
      </w:r>
      <w:r>
        <w:rPr>
          <w:rFonts w:hint="eastAsia" w:ascii="Times New Roman" w:hAnsi="Times New Roman" w:eastAsia="楷体_GB2312"/>
          <w:kern w:val="0"/>
          <w:sz w:val="28"/>
          <w:szCs w:val="28"/>
        </w:rPr>
        <w:t>联系人及联系电话：</w:t>
      </w:r>
      <w:r>
        <w:rPr>
          <w:rFonts w:hint="eastAsia" w:eastAsia="楷体" w:cs="Times New Roman"/>
          <w:kern w:val="0"/>
          <w:sz w:val="28"/>
          <w:szCs w:val="28"/>
          <w:lang w:eastAsia="zh-CN"/>
        </w:rPr>
        <w:t>吴军</w:t>
      </w:r>
      <w:r>
        <w:rPr>
          <w:rFonts w:hint="default" w:eastAsia="楷体" w:cs="Times New Roman"/>
          <w:kern w:val="0"/>
          <w:sz w:val="28"/>
          <w:szCs w:val="28"/>
          <w:lang w:val="en-US" w:eastAsia="zh-CN"/>
        </w:rPr>
        <w:t xml:space="preserve">  </w:t>
      </w:r>
      <w:bookmarkStart w:id="0" w:name="_GoBack"/>
      <w:bookmarkEnd w:id="0"/>
      <w:r>
        <w:rPr>
          <w:rFonts w:hint="default" w:ascii="Times New Roman" w:hAnsi="Times New Roman" w:eastAsia="楷体" w:cs="Times New Roman"/>
          <w:kern w:val="0"/>
          <w:sz w:val="28"/>
          <w:szCs w:val="28"/>
          <w:lang w:val="en-US" w:eastAsia="zh-CN"/>
        </w:rPr>
        <w:t>073</w:t>
      </w:r>
      <w:r>
        <w:rPr>
          <w:rFonts w:hint="eastAsia" w:eastAsia="楷体" w:cs="Times New Roman"/>
          <w:kern w:val="0"/>
          <w:sz w:val="28"/>
          <w:szCs w:val="28"/>
          <w:lang w:val="en-US" w:eastAsia="zh-CN"/>
        </w:rPr>
        <w:t>6</w:t>
      </w:r>
      <w:r>
        <w:rPr>
          <w:rFonts w:hint="default" w:ascii="Times New Roman" w:hAnsi="Times New Roman" w:eastAsia="楷体" w:cs="Times New Roman"/>
          <w:kern w:val="0"/>
          <w:sz w:val="28"/>
          <w:szCs w:val="28"/>
          <w:lang w:val="en-US" w:eastAsia="zh-CN"/>
        </w:rPr>
        <w:t>-</w:t>
      </w:r>
      <w:r>
        <w:rPr>
          <w:rFonts w:hint="eastAsia" w:eastAsia="楷体" w:cs="Times New Roman"/>
          <w:kern w:val="0"/>
          <w:sz w:val="28"/>
          <w:szCs w:val="28"/>
          <w:lang w:val="en-US" w:eastAsia="zh-CN"/>
        </w:rPr>
        <w:t>7256052</w:t>
      </w:r>
    </w:p>
    <w:tbl>
      <w:tblPr>
        <w:tblStyle w:val="24"/>
        <w:tblW w:w="15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0"/>
        <w:gridCol w:w="4542"/>
        <w:gridCol w:w="1605"/>
        <w:gridCol w:w="1683"/>
        <w:gridCol w:w="795"/>
        <w:gridCol w:w="967"/>
        <w:gridCol w:w="793"/>
        <w:gridCol w:w="707"/>
        <w:gridCol w:w="890"/>
        <w:gridCol w:w="1440"/>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blHeader/>
          <w:jc w:val="center"/>
        </w:trPr>
        <w:tc>
          <w:tcPr>
            <w:tcW w:w="43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序号</w:t>
            </w:r>
          </w:p>
        </w:tc>
        <w:tc>
          <w:tcPr>
            <w:tcW w:w="84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检查事项</w:t>
            </w:r>
          </w:p>
        </w:tc>
        <w:tc>
          <w:tcPr>
            <w:tcW w:w="4542"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实施依据</w:t>
            </w:r>
          </w:p>
        </w:tc>
        <w:tc>
          <w:tcPr>
            <w:tcW w:w="160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检查对象或抽查对象（含范围、数量或比例）</w:t>
            </w:r>
          </w:p>
        </w:tc>
        <w:tc>
          <w:tcPr>
            <w:tcW w:w="1683"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检查内容</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（项目）</w:t>
            </w:r>
          </w:p>
        </w:tc>
        <w:tc>
          <w:tcPr>
            <w:tcW w:w="795"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拟实施检查时间</w:t>
            </w:r>
          </w:p>
        </w:tc>
        <w:tc>
          <w:tcPr>
            <w:tcW w:w="967"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方式</w:t>
            </w:r>
          </w:p>
        </w:tc>
        <w:tc>
          <w:tcPr>
            <w:tcW w:w="793"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检查事项类型</w:t>
            </w:r>
          </w:p>
        </w:tc>
        <w:tc>
          <w:tcPr>
            <w:tcW w:w="707"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年度检查频次</w:t>
            </w:r>
          </w:p>
        </w:tc>
        <w:tc>
          <w:tcPr>
            <w:tcW w:w="89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承办</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机构</w:t>
            </w:r>
          </w:p>
        </w:tc>
        <w:tc>
          <w:tcPr>
            <w:tcW w:w="1440"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2"/>
                <w:szCs w:val="22"/>
              </w:rPr>
              <w:t>是否属跨部门联合检查（如是，需写明牵头部门和配合部门）</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ascii="Times New Roman" w:hAnsi="Times New Roman" w:eastAsia="黑体"/>
                <w:kern w:val="0"/>
                <w:sz w:val="24"/>
                <w:szCs w:val="24"/>
              </w:rPr>
            </w:pPr>
            <w:r>
              <w:rPr>
                <w:rFonts w:ascii="Times New Roman" w:hAnsi="Times New Roman" w:eastAsia="黑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472" w:firstLineChars="20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对实验动物生产、使用活动的日常监督检查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1.《实验动物管理条例》（2017年3月第三次修订）第五条 国家科学技术委员会主管全国实验动物工作。省、自治区、直辖市科学技术委员会主管本地区的实验动物工作。国务院各有关部门负责管理本部门的实验动物工作。第六条国家实行实验动物的质量监督和质量合格认证制度。具体办法由国家科学技术委员会另行制定。</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 xml:space="preserve">2.《湖南省实验动物管理条例》（2024年7月公布）第六条 第一款 从事实验动物工作的单位和个人，应当按照国家和省有关规定取得省人民政府科学技术主管部门颁发的实验动物许可证。实验动物许可证包括实验动物生产许可证和实验动物使用许可证。第十七条 县级以上人民政府科学技术主管部门应当加强对实验动物生产、使用活动的日常监督检查。任何单位和个人发现违法从事实验动物生产、使用等活动的行为，有权向科学技术主管部门举报；科学技术主管部门收到举报后应当依法及时核实、处理。                                                   </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3.中华人民共和国国家科学技术委员会关于印发《实验动物质量管理办法》的通知（国科发财字〔1997〕593号）第九条 第一款 实验动物生产和使用，实行许可证制度。实验动物生产和使用单位，必须取得许可证。第十二条 实验动物生产、使用许可证的申请、审批，按照以下程序执行。各申请许可证的单位可向所在省（自治区、直辖市）科委提交申请书，并附上由国家认可的检测机构出具的检测报告及相关资料。检测机构，可由各申请单位自行选择。各省（自治区、直辖市）科委负责受理许可证申请，并进行考核和审批。凡通过批准的，由国家科委授权省（自治区、直辖市）科委发给实验动物生产许可证或实验动物使用许可证。实验动物生产许可证和实验动物使用许可证由国家科委统一制定，全国有效。第十三条 取得许可证的单位，必须接受每年的复查。复查合格者，许可证继续有效；任何一项条件复查不合格的，限期三个月进行整改，并接受再次复查。如仍不合格，取消其实验动物生产或使用资格，由发证部门收回许可证。但在条件具备时，可重新提出申请。第十四条 对实验动物生产、使用单位的每年复查，由省（自治区、直辖市）科委组织实施。每年的复查结果报国家科委备案。</w:t>
            </w:r>
          </w:p>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leftChars="0" w:right="0" w:rightChars="0" w:firstLine="0" w:firstLineChars="0"/>
              <w:jc w:val="left"/>
              <w:textAlignment w:val="center"/>
              <w:outlineLvl w:val="9"/>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4.科学技术部、卫生部、教育部、农业部、国家质量监督检验检疫总局、国家中医药管理局、中国人民解放军总后勤部卫生部关于发布《实验动物许可证管理办法（试行）》（国科发财字〔2001〕545号）第三条 第一款 第二款 第三款 实验动物许可证包括实验动物生产许可证和实验动物使用许可证。实验动物生产许可证，适用于从事实验动物及相关产品保种、繁育、生产、供应、运输及有关商业性经营的组织和个人。实验动物使用许可证适用于使用实验动物及相关产品进行科学研究和实验的组织和个人。许可证由各省、自治区、直辖市科技厅（科委、局）印制、发放和管理。第八条 省、自治区、直辖市科技厅（科委、局）负责受理许可证申请，并进行考核和审批。各省、自治区、直辖市科技厅（科委、局）受理申请后，应组织专家组对申请单位的申请材料及实际情况进行审查和现场验收，出具专家组验收报告。对申请生产许可证的单位，其生产用的实验动物种子须按照《关于当前许可证发放过程中有关实验动物种子问题的处理意见》（国科财字〔1999〕044号）进行确认。省、自治区、直辖市科技厅（科委、局）在受理申请后的三个月内给出相应的评审结果。合格者由省、自治区、直辖市科技厅（科委、局）签发批准实验动物生产或使用许可证的文件，发放许可证。</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湖南省内持有有效期内实验动物生产许可证、实验动物使用许可证的企业。按企业总数30%比例抽取进行现场检查，100%完成自查（提交自查报告）。</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1.运营管理监督检查。包括（实验动物设施运行维护、实验动物从业人员健康体检、实验动物福利伦理审查情况等）。</w:t>
            </w:r>
          </w:p>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2.质量管理监督检查。包括（实验动物质量自检、实验动物环境设施质量自检情况等）。</w:t>
            </w:r>
          </w:p>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3.安全管理监督检查。包括（实验动物尸体及废弃物无害化处理、高温高压设备年检及操作人员持证、实验动物生物安全事件应急预案制定及执行情况等）。</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2026</w:t>
            </w:r>
            <w:r>
              <w:rPr>
                <w:rFonts w:hint="eastAsia" w:ascii="Times New Roman" w:hAnsi="Times New Roman" w:eastAsia="仿宋_GB2312" w:cs="仿宋_GB2312"/>
                <w:i w:val="0"/>
                <w:iCs w:val="0"/>
                <w:color w:val="000000"/>
                <w:spacing w:val="-17"/>
                <w:kern w:val="0"/>
                <w:sz w:val="24"/>
                <w:szCs w:val="24"/>
                <w:u w:val="none"/>
                <w:lang w:val="en-US" w:eastAsia="zh-CN" w:bidi="ar"/>
              </w:rPr>
              <w:t>年10月-12月</w:t>
            </w:r>
            <w:r>
              <w:rPr>
                <w:rFonts w:hint="eastAsia" w:eastAsia="仿宋_GB2312" w:cs="仿宋_GB2312"/>
                <w:i w:val="0"/>
                <w:iCs w:val="0"/>
                <w:color w:val="000000"/>
                <w:spacing w:val="-17"/>
                <w:kern w:val="0"/>
                <w:sz w:val="24"/>
                <w:szCs w:val="24"/>
                <w:u w:val="none"/>
                <w:lang w:val="en-US" w:eastAsia="zh-CN" w:bidi="ar"/>
              </w:rPr>
              <w:t>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260" w:lineRule="exact"/>
              <w:ind w:left="0" w:leftChars="0" w:right="0" w:rightChars="0" w:firstLine="0" w:firstLineChars="0"/>
              <w:jc w:val="both"/>
              <w:textAlignment w:val="center"/>
              <w:outlineLvl w:val="9"/>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spacing w:val="-17"/>
                <w:kern w:val="0"/>
                <w:sz w:val="24"/>
                <w:szCs w:val="24"/>
                <w:u w:val="none"/>
                <w:lang w:val="en-US" w:eastAsia="zh-CN" w:bidi="ar"/>
              </w:rPr>
              <w:t>现场检查和非现场检查相结合。非现场检查要求100%企业提交自查报告，现场检查按企业总数30%抽取。</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b/>
                <w:bCs/>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eastAsia="仿宋_GB2312" w:cs="仿宋_GB2312"/>
                <w:i w:val="0"/>
                <w:iCs w:val="0"/>
                <w:color w:val="000000"/>
                <w:kern w:val="0"/>
                <w:sz w:val="24"/>
                <w:szCs w:val="24"/>
                <w:u w:val="none"/>
                <w:lang w:val="en-US" w:eastAsia="zh-CN" w:bidi="ar"/>
              </w:rPr>
              <w:t>常德市科学技术局平台科</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rPr>
                <w:rFonts w:ascii="Times New Roman" w:hAnsi="Times New Roman" w:eastAsia="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472" w:firstLineChars="200"/>
              <w:jc w:val="center"/>
              <w:textAlignment w:val="center"/>
              <w:rPr>
                <w:rFonts w:hint="default" w:ascii="Times New Roman" w:hAnsi="Times New Roman" w:eastAsia="仿宋_GB2312"/>
                <w:kern w:val="0"/>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对采集、保藏、利用、对外提供人类遗传资源活动各环节的监督检查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《中华人民共和国人类遗传资源管理条例》（2024年3月修订）第四条 第二款 省、自治区、直辖市人民政府人类遗传资源主管部门负责本行政区域人类遗传资源管理工作。第三十三条 国务院卫生健康主管部门和省、自治区、直辖市人民政府人类遗传资源主管部门应当加强对采集、保藏、利用、对外提供人类遗传资源活动各环节的监督检查，发现违反本条例规定的，及时依法予以处理并向社会公布检查、处理结果。第三十四条　国务院卫生健康主管部门和省、自治区、直辖市人民政府人类遗传资源主管部门进行监督检查，可以采取下列措施：（一）进入现场检查；（二）询问相关人员；（三）查阅、复制有关资料；（四）查封、扣押有关人类遗传资源。2.《人类遗传资源管理条例实施细则》第四条  省、自治区、直辖市科学技术厅（委、局）、新疆生产建设兵团科学技术局（以下称省级科技行政部门）负责本区域下列人类遗传资源管理工作：（一）人类遗传资源监督检查与日常管理；（二）职权范围内的人类遗传资源违法案件调查处理；（三）根据科技部委托，开展本区域人类遗传资源调查、人类遗传资源行政许可、人类遗传资源违法案件调查处理等工作。</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eastAsia="仿宋_GB2312" w:cs="仿宋_GB2312"/>
                <w:i w:val="0"/>
                <w:iCs w:val="0"/>
                <w:color w:val="000000"/>
                <w:kern w:val="0"/>
                <w:sz w:val="24"/>
                <w:szCs w:val="24"/>
                <w:u w:val="none"/>
                <w:lang w:val="en-US" w:eastAsia="zh-CN" w:bidi="ar"/>
              </w:rPr>
              <w:t>常德市</w:t>
            </w:r>
            <w:r>
              <w:rPr>
                <w:rFonts w:hint="eastAsia" w:ascii="Times New Roman" w:hAnsi="Times New Roman" w:eastAsia="仿宋_GB2312" w:cs="仿宋_GB2312"/>
                <w:i w:val="0"/>
                <w:iCs w:val="0"/>
                <w:color w:val="000000"/>
                <w:kern w:val="0"/>
                <w:sz w:val="24"/>
                <w:szCs w:val="24"/>
                <w:u w:val="none"/>
                <w:lang w:val="en-US" w:eastAsia="zh-CN" w:bidi="ar"/>
              </w:rPr>
              <w:t>内具有人类遗传资源管理采集、保藏、利用、对外提供人类遗传资源活动资质的企业进行现场检查。</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结合工作实际抽取具有人类遗传资源管理相关资质的企业，对采集、保藏、利用、对外提供人类遗传资源活动各环节开展监督检查。</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2026年9月</w:t>
            </w:r>
            <w:r>
              <w:rPr>
                <w:rFonts w:hint="eastAsia" w:eastAsia="仿宋_GB2312" w:cs="仿宋_GB2312"/>
                <w:i w:val="0"/>
                <w:iCs w:val="0"/>
                <w:color w:val="000000"/>
                <w:kern w:val="0"/>
                <w:sz w:val="24"/>
                <w:szCs w:val="24"/>
                <w:u w:val="none"/>
                <w:lang w:val="en-US" w:eastAsia="zh-CN" w:bidi="ar"/>
              </w:rPr>
              <w:t>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both"/>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现场检查</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ascii="Times New Roman" w:hAnsi="Times New Roman" w:eastAsia="仿宋_GB2312"/>
                <w:b/>
                <w:bCs/>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一般</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left"/>
              <w:textAlignment w:val="center"/>
              <w:rPr>
                <w:rFonts w:hint="eastAsia" w:ascii="Times New Roman" w:hAnsi="Times New Roman" w:eastAsia="仿宋_GB2312"/>
                <w:kern w:val="0"/>
                <w:sz w:val="24"/>
                <w:szCs w:val="24"/>
                <w:lang w:eastAsia="zh-CN"/>
              </w:rPr>
            </w:pPr>
            <w:r>
              <w:rPr>
                <w:rFonts w:hint="eastAsia" w:eastAsia="仿宋_GB2312"/>
                <w:kern w:val="0"/>
                <w:sz w:val="24"/>
                <w:szCs w:val="24"/>
                <w:lang w:eastAsia="zh-CN"/>
              </w:rPr>
              <w:t>常德市科学技术局科技安全与发展科</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ind w:left="0" w:leftChars="0" w:right="0" w:rightChars="0" w:firstLine="0" w:firstLineChars="0"/>
              <w:jc w:val="center"/>
              <w:textAlignment w:val="center"/>
              <w:rPr>
                <w:rFonts w:ascii="Times New Roman" w:hAnsi="Times New Roman" w:eastAsia="仿宋_GB2312"/>
                <w:kern w:val="0"/>
                <w:sz w:val="24"/>
                <w:szCs w:val="24"/>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rPr>
                <w:rFonts w:ascii="Times New Roman" w:hAnsi="Times New Roman" w:eastAsia="方正黑体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对利用财政性资金设立的科学技术计划实施情况的监督检查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《中华人民共和国科学技术进步法》（中华人民共和国主席令 第一</w:t>
            </w:r>
            <w:r>
              <w:rPr>
                <w:rStyle w:val="36"/>
                <w:rFonts w:hint="eastAsia" w:ascii="仿宋_GB2312" w:hAnsi="仿宋_GB2312" w:eastAsia="仿宋_GB2312" w:cs="仿宋_GB2312"/>
                <w:sz w:val="24"/>
                <w:szCs w:val="24"/>
                <w:lang w:val="en-US" w:eastAsia="zh-CN" w:bidi="ar"/>
              </w:rPr>
              <w:t>〇</w:t>
            </w:r>
            <w:r>
              <w:rPr>
                <w:rStyle w:val="37"/>
                <w:rFonts w:hint="eastAsia" w:ascii="仿宋_GB2312" w:hAnsi="仿宋_GB2312" w:eastAsia="仿宋_GB2312" w:cs="仿宋_GB2312"/>
                <w:sz w:val="24"/>
                <w:szCs w:val="24"/>
                <w:lang w:val="en-US" w:eastAsia="zh-CN" w:bidi="ar"/>
              </w:rPr>
              <w:t>三号）第十六条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第七十三条 县级以上人民政府及其有关部门制定的与产业发展相关的科学技术计划，应当体现产业发展的需求。县级以上人民政府及其有关部门确定科学技术计划项目，应当鼓励企业平等竞争和参与实施；对符合产业发展需求、具有明确市场应用前景的项目，应当鼓励企业联合科学技术研究开发机构、高等学校共同实施。地方重大科学技术计划实施应当与国家科学技术重大任务部署相衔接。</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第八十七条  财政性科学技术资金应当主要用于下列事项的投入：（一）科学技术基础条件与设施建设；（二）基础研究和前沿交叉学科研究；（三）对经济建设和社会发展具有战略性、基础性、前瞻性作用的前沿技术研究、社会公益性技术研究和重大共性关键技术研究；（四）重大共性关键技术应用和高新技术产业化示范；（五）关系生态环境和人民生命健康的科学技术研究开发和成果的应用、推广；（六）农业新品种、新技术的研究开发和农业科技成果的应用、推广；（七）科学技术人员的培养、吸引和使用；（八）科学技术普及。</w:t>
            </w:r>
            <w:r>
              <w:rPr>
                <w:rStyle w:val="37"/>
                <w:rFonts w:hint="eastAsia" w:ascii="仿宋_GB2312" w:hAnsi="仿宋_GB2312" w:eastAsia="仿宋_GB2312" w:cs="仿宋_GB2312"/>
                <w:sz w:val="24"/>
                <w:szCs w:val="24"/>
                <w:lang w:val="en-US" w:eastAsia="zh-CN" w:bidi="ar"/>
              </w:rPr>
              <w:br w:type="textWrapping"/>
            </w:r>
            <w:r>
              <w:rPr>
                <w:rStyle w:val="37"/>
                <w:rFonts w:hint="eastAsia" w:ascii="仿宋_GB2312" w:hAnsi="仿宋_GB2312" w:eastAsia="仿宋_GB2312" w:cs="仿宋_GB2312"/>
                <w:sz w:val="24"/>
                <w:szCs w:val="24"/>
                <w:lang w:val="en-US" w:eastAsia="zh-CN" w:bidi="ar"/>
              </w:rPr>
              <w:t>第一百条  国家加强财政性科学技术资金绩效管理，提高资金配置效率和使用效益。财政性科学技术资金的管理和使用情况，应当接受审计机关、财政部门的监督检查。科学技术行政等有关部门应当加强对利用财政性资金设立的科学技术计划实施情况的监督，强化科研项目资金协调、评估、监管。</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辖区内承担财政性资金设立的科学技术计划（专项、基金）的项目单位、个人。</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1.项目单位法人责任制以及相关科技政策落实情况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2.项目实施及资金管理使用情况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3.项目后续管理情况</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省级项目由省科技厅牵头实施，市科技局按照要求参加；市级项目2026年6~12月</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一般</w:t>
            </w:r>
            <w:r>
              <w:rPr>
                <w:rFonts w:hint="eastAsia" w:ascii="Times New Roman" w:hAnsi="Times New Roman" w:eastAsia="仿宋_GB2312" w:cs="仿宋_GB2312"/>
                <w:i w:val="0"/>
                <w:iCs w:val="0"/>
                <w:color w:val="000000"/>
                <w:kern w:val="0"/>
                <w:sz w:val="24"/>
                <w:szCs w:val="24"/>
                <w:u w:val="none"/>
                <w:lang w:val="en-US" w:eastAsia="zh-CN" w:bidi="ar"/>
              </w:rPr>
              <w:br w:type="textWrapping"/>
            </w:r>
            <w:r>
              <w:rPr>
                <w:rFonts w:hint="eastAsia" w:ascii="Times New Roman" w:hAnsi="Times New Roman" w:eastAsia="仿宋_GB2312" w:cs="仿宋_GB2312"/>
                <w:i w:val="0"/>
                <w:iCs w:val="0"/>
                <w:color w:val="000000"/>
                <w:kern w:val="0"/>
                <w:sz w:val="24"/>
                <w:szCs w:val="24"/>
                <w:u w:val="none"/>
                <w:lang w:val="en-US" w:eastAsia="zh-CN" w:bidi="ar"/>
              </w:rPr>
              <w:t>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1次/年</w:t>
            </w:r>
          </w:p>
        </w:tc>
        <w:tc>
          <w:tcPr>
            <w:tcW w:w="89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常德市科学技术局政策法规科</w:t>
            </w:r>
          </w:p>
        </w:tc>
        <w:tc>
          <w:tcPr>
            <w:tcW w:w="1440"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对科学技术人员科研诚信和科技伦理方面的监</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督检查</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1.《中华人民共和国科学技术进步法》（中华人民共和国主席令 第一〇三号）第十六条　国务院科学技术行政部门负责全国科学技术进步工作的宏观管理、统筹协调、服务保障和监督实施；国务院其他有关部门在各自的职责范围内，负责有关的科学技术进步工作。县级以上地方人民政府科学技术行政部门负责本行政区域的科学技术进步工作；县级以上地方人民政府其他有关部门在各自的职责范围内，负责有关的科学技术进步工作。第六十九条　科研诚信记录作为对科学技术人员聘任专业技术职务或者职称、审批科学技术人员申请科学技术研究开发项目、授予科学技术奖励等的重要依据。第一百零四条 县级以上地方人民政府和相关行业主管部门采取各种措施加强科研诚信建设，企业事业单位和社会组织应当履行科研诚信管理的主体责任。第一百零七条 从事科学技术活动，应当遵守科学技术活动管理规范。对严重违反科学技术活动管理规范的组织和个人，由科学技术行政等有关部门记入科研诚信严重失信行为数据库。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2.中共中央办公厅 国务院办公厅印发《关于进一步加强科研诚信建设的若干意见》（厅字〔2018〕23号）第四条 建立健全职责明确、高效协同的科研诚信管理体系……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3.中共中央办公厅 国务院办公厅印发《关于加强科技伦理治理的意见》五、强化科技伦理审查和监管 （四）严肃查处科技伦理违法违规行为。高等学校、科研机构、医疗卫生机构、企业等是科技伦理违规行为单位内部调查处理的第一责任主体，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辖区内承担财政性资金设立的科学技术计划（专项、基金）的项目单位、个人。</w:t>
            </w:r>
          </w:p>
        </w:tc>
        <w:tc>
          <w:tcPr>
            <w:tcW w:w="16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1.科研诚信、科技伦理相关政策规定的落实情况</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2.科研诚信、科技伦理违规行为调查处理情况</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2026年10月-12月</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1次/年</w:t>
            </w:r>
          </w:p>
        </w:tc>
        <w:tc>
          <w:tcPr>
            <w:tcW w:w="8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常德市科学技术局政策法规科</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35" w:type="dxa"/>
            <w:vAlign w:val="center"/>
          </w:tcPr>
          <w:p>
            <w:pPr>
              <w:keepNext w:val="0"/>
              <w:keepLines w:val="0"/>
              <w:pageBreakBefore w:val="0"/>
              <w:widowControl/>
              <w:suppressLineNumbers w:val="0"/>
              <w:kinsoku/>
              <w:wordWrap/>
              <w:overflowPunct/>
              <w:topLinePunct w:val="0"/>
              <w:autoSpaceDE/>
              <w:autoSpaceDN/>
              <w:bidi w:val="0"/>
              <w:adjustRightInd/>
              <w:snapToGrid w:val="0"/>
              <w:spacing w:after="0" w:line="320" w:lineRule="exact"/>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对外国人来华工作的行政检查</w:t>
            </w:r>
          </w:p>
        </w:tc>
        <w:tc>
          <w:tcPr>
            <w:tcW w:w="4542"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1.《中华人民共和国行政许可法》</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中华人民共和国主席令第七号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2.《中华人民共和国出境入境管理法》</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中华人民共和国主席令第五十七号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第四十一条外国人在中国境内工作，应当按照规定取得工作许可和工作类居留证件。任何单位和个人不得聘用未取得工作许可和工作类居留证件的外国人。</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3.《中华人民共和国外国人入境出境管理条例》</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中华人民共和国国务院令第637号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第七条申请R字签证，应当符合中国政府有关主管部门确定的外国高层次人才和急需紧缺专门人才的引进条件和要求，并按照规定提交相应的证明材料。申请Z字签证，应当按照规定提交工作许可等证明材料。第十六条工作类居留证件，应当提交工作许可等证明材料；属于国家需要的外国高层次人才和急需紧缺专门人才的，应当按照规定提交有关证明材料。</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4.《外国人在中国就业管理规定》</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2017年3月13日中华人民共和国人力资源和社会保障部令第32号修正</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5.《国家外国专家局、人力资源社会保障部、外交部、公安部关于全面实施外国人来华工作许可制度的通知》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外专发〔2017〕40号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6.《国家外国专家局关于印发外国人来华工作许可服务指南</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暂行</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的通知》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外专发〔2017〕36号</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rPr>
              <w:t>全文。</w:t>
            </w:r>
          </w:p>
        </w:tc>
        <w:tc>
          <w:tcPr>
            <w:tcW w:w="160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lang w:eastAsia="zh-CN"/>
              </w:rPr>
              <w:t>常德市内</w:t>
            </w:r>
            <w:r>
              <w:rPr>
                <w:rFonts w:hint="eastAsia" w:ascii="仿宋_GB2312" w:hAnsi="仿宋_GB2312" w:eastAsia="仿宋_GB2312" w:cs="仿宋_GB2312"/>
                <w:spacing w:val="0"/>
                <w:position w:val="0"/>
                <w:sz w:val="24"/>
                <w:szCs w:val="24"/>
              </w:rPr>
              <w:t>来华工作的外国人、聘用外国人的用人单位。</w:t>
            </w:r>
          </w:p>
        </w:tc>
        <w:tc>
          <w:tcPr>
            <w:tcW w:w="1683" w:type="dxa"/>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pacing w:val="0"/>
                <w:position w:val="0"/>
                <w:sz w:val="24"/>
                <w:szCs w:val="24"/>
              </w:rPr>
              <w:t>1.外国人来华工作许可行政审批监督检查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lang w:val="en-US" w:eastAsia="zh-CN"/>
              </w:rPr>
              <w:t xml:space="preserve">        </w:t>
            </w:r>
            <w:r>
              <w:rPr>
                <w:rFonts w:hint="eastAsia" w:ascii="仿宋_GB2312" w:hAnsi="仿宋_GB2312" w:eastAsia="仿宋_GB2312" w:cs="仿宋_GB2312"/>
                <w:spacing w:val="0"/>
                <w:position w:val="0"/>
                <w:sz w:val="24"/>
                <w:szCs w:val="24"/>
              </w:rPr>
              <w:t>2.证件管理情况监督检查</w:t>
            </w:r>
            <w:r>
              <w:rPr>
                <w:rFonts w:hint="eastAsia" w:ascii="仿宋_GB2312" w:hAnsi="仿宋_GB2312" w:eastAsia="仿宋_GB2312" w:cs="仿宋_GB2312"/>
                <w:spacing w:val="0"/>
                <w:position w:val="0"/>
                <w:sz w:val="24"/>
                <w:szCs w:val="24"/>
                <w:lang w:eastAsia="zh-CN"/>
              </w:rPr>
              <w:t>；</w:t>
            </w:r>
            <w:r>
              <w:rPr>
                <w:rFonts w:hint="eastAsia" w:ascii="仿宋_GB2312" w:hAnsi="仿宋_GB2312" w:eastAsia="仿宋_GB2312" w:cs="仿宋_GB2312"/>
                <w:spacing w:val="0"/>
                <w:position w:val="0"/>
                <w:sz w:val="24"/>
                <w:szCs w:val="24"/>
                <w:lang w:val="en-US" w:eastAsia="zh-CN"/>
              </w:rPr>
              <w:t>3.</w:t>
            </w:r>
            <w:r>
              <w:rPr>
                <w:rFonts w:hint="eastAsia" w:ascii="仿宋_GB2312" w:hAnsi="仿宋_GB2312" w:eastAsia="仿宋_GB2312" w:cs="仿宋_GB2312"/>
                <w:spacing w:val="0"/>
                <w:position w:val="0"/>
                <w:sz w:val="24"/>
                <w:szCs w:val="24"/>
              </w:rPr>
              <w:t>用人单位使用外国人情况监督检查</w:t>
            </w:r>
            <w:r>
              <w:rPr>
                <w:rFonts w:hint="eastAsia" w:ascii="仿宋_GB2312" w:hAnsi="仿宋_GB2312" w:eastAsia="仿宋_GB2312" w:cs="仿宋_GB2312"/>
                <w:spacing w:val="0"/>
                <w:position w:val="0"/>
                <w:sz w:val="24"/>
                <w:szCs w:val="24"/>
                <w:lang w:eastAsia="zh-CN"/>
              </w:rPr>
              <w:t>。</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1外国人来华工作许可办理为全年（工作日）；</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2相关检查由省科技厅牵头实施，市科技局按照要求参加；</w:t>
            </w:r>
          </w:p>
        </w:tc>
        <w:tc>
          <w:tcPr>
            <w:tcW w:w="96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现现场检查、非现场检查相结合</w:t>
            </w:r>
          </w:p>
        </w:tc>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一般检查事项</w:t>
            </w:r>
          </w:p>
        </w:tc>
        <w:tc>
          <w:tcPr>
            <w:tcW w:w="707"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11次/年</w:t>
            </w:r>
          </w:p>
        </w:tc>
        <w:tc>
          <w:tcPr>
            <w:tcW w:w="890" w:type="dxa"/>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88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常德市科学技术局人事科</w:t>
            </w:r>
          </w:p>
        </w:tc>
        <w:tc>
          <w:tcPr>
            <w:tcW w:w="1440" w:type="dxa"/>
            <w:vAlign w:val="center"/>
          </w:tcPr>
          <w:p>
            <w:pPr>
              <w:keepNext w:val="0"/>
              <w:keepLines w:val="0"/>
              <w:pageBreakBefore w:val="0"/>
              <w:kinsoku/>
              <w:wordWrap/>
              <w:overflowPunct/>
              <w:topLinePunct w:val="0"/>
              <w:autoSpaceDE/>
              <w:autoSpaceDN/>
              <w:bidi w:val="0"/>
              <w:adjustRightInd/>
              <w:snapToGrid w:val="0"/>
              <w:spacing w:line="320" w:lineRule="exact"/>
              <w:ind w:right="0"/>
              <w:jc w:val="both"/>
              <w:textAlignment w:val="auto"/>
              <w:rPr>
                <w:rFonts w:hint="eastAsia" w:ascii="仿宋_GB2312" w:hAnsi="仿宋_GB2312" w:eastAsia="仿宋_GB2312" w:cs="仿宋_GB2312"/>
                <w:i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否</w:t>
            </w:r>
          </w:p>
        </w:tc>
        <w:tc>
          <w:tcPr>
            <w:tcW w:w="626" w:type="dxa"/>
            <w:vAlign w:val="center"/>
          </w:tcPr>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val="0"/>
        <w:spacing w:after="0" w:line="320" w:lineRule="exact"/>
        <w:ind w:left="0" w:leftChars="0" w:right="0" w:rightChars="0" w:firstLine="0" w:firstLineChars="0"/>
        <w:jc w:val="both"/>
        <w:textAlignment w:val="auto"/>
        <w:outlineLvl w:val="9"/>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填写说明：</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检查事项、实施依据、承办机构栏原则上应与本单位涉企行政检查事项清单保持一致。其中，“实施依据”栏需列明以下内容：①法律法规规章名称（含规章令号）；②具体条、款、项、目；③引用相关条文原文。</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2.根据投诉举报、转（交）办、数据监控等实施的触发式行政检查，按照省政府办公厅《关于严格规范涉企行政检查的实施方案》相关规定执行，不列入本计划。</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3.“检查方式”主要包括现场检查、非现场检查、现场检查和非现场检查相结合三种；列为非现场检查的事项，在“备注”栏注明“无扰检查”。</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4.“检查对象”应列明具体检查对象名单，或者精准描述抽查对象具体范围、数量或者比例，并在“备注”栏明确本项检查是否属“双随机一公开”抽查。</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5.“检查事项类型”填写“重点检查事项”或者“一般检查事项”。</w:t>
      </w:r>
    </w:p>
    <w:p>
      <w:pPr>
        <w:keepNext w:val="0"/>
        <w:keepLines w:val="0"/>
        <w:pageBreakBefore w:val="0"/>
        <w:widowControl/>
        <w:kinsoku/>
        <w:wordWrap/>
        <w:overflowPunct/>
        <w:topLinePunct w:val="0"/>
        <w:autoSpaceDE/>
        <w:autoSpaceDN/>
        <w:bidi w:val="0"/>
        <w:adjustRightInd/>
        <w:snapToGrid w:val="0"/>
        <w:spacing w:after="0" w:line="320" w:lineRule="exact"/>
        <w:ind w:left="0" w:leftChars="0" w:right="0" w:rightChars="0" w:firstLine="0" w:firstLineChars="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6.根据省政府办公厅《关于严格规范涉企行政检查的实施方案》相关规定，本表应在同级司法行政部门同意备案后，由制定机关15日内在“湖南省行政执法公示平台-涉企行政检查”专栏公示。</w:t>
      </w:r>
    </w:p>
    <w:p>
      <w:pPr>
        <w:keepNext w:val="0"/>
        <w:keepLines w:val="0"/>
        <w:pageBreakBefore w:val="0"/>
        <w:widowControl w:val="0"/>
        <w:kinsoku/>
        <w:wordWrap/>
        <w:overflowPunct/>
        <w:topLinePunct w:val="0"/>
        <w:autoSpaceDE/>
        <w:autoSpaceDN/>
        <w:bidi w:val="0"/>
        <w:adjustRightInd/>
        <w:snapToGrid w:val="0"/>
        <w:spacing w:after="0" w:line="320" w:lineRule="exact"/>
        <w:ind w:left="0" w:leftChars="0" w:right="0" w:rightChars="0" w:firstLine="0" w:firstLineChars="0"/>
        <w:jc w:val="both"/>
        <w:textAlignment w:val="auto"/>
        <w:outlineLvl w:val="9"/>
        <w:rPr>
          <w:rFonts w:hint="default" w:ascii="Times New Roman" w:hAnsi="Times New Roman" w:eastAsia="仿宋_GB2312"/>
        </w:rPr>
      </w:pPr>
      <w:r>
        <w:rPr>
          <w:rFonts w:hint="eastAsia" w:ascii="仿宋_GB2312" w:hAnsi="仿宋_GB2312" w:eastAsia="仿宋_GB2312" w:cs="仿宋_GB2312"/>
          <w:kern w:val="0"/>
          <w:sz w:val="24"/>
          <w:szCs w:val="24"/>
        </w:rPr>
        <w:t>7.各单位与同级司法行政部门沟通一致后，可结合本单位实际在表格栏目外适当增加栏</w:t>
      </w:r>
      <w:r>
        <w:rPr>
          <w:rFonts w:hint="eastAsia" w:ascii="Times New Roman" w:hAnsi="Times New Roman" w:eastAsia="仿宋_GB2312" w:cs="仿宋_GB2312"/>
          <w:kern w:val="0"/>
          <w:sz w:val="24"/>
          <w:szCs w:val="24"/>
        </w:rPr>
        <w:t>目,或者以附件形式补充明确相关内容。</w:t>
      </w:r>
    </w:p>
    <w:sectPr>
      <w:headerReference r:id="rId5" w:type="default"/>
      <w:footerReference r:id="rId7" w:type="default"/>
      <w:headerReference r:id="rId6" w:type="even"/>
      <w:footerReference r:id="rId8" w:type="even"/>
      <w:pgSz w:w="16838" w:h="11906" w:orient="landscape"/>
      <w:pgMar w:top="1814" w:right="1440" w:bottom="1440" w:left="1440" w:header="850" w:footer="992"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20" w:rightChars="100" w:firstLine="560"/>
      <w:jc w:val="right"/>
      <w:rPr>
        <w:rFonts w:hint="default" w:ascii="Times New Roman" w:hAnsi="Times New Roman" w:eastAsia="宋体"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right="320" w:rightChars="100" w:firstLine="560"/>
                            <w:jc w:val="right"/>
                          </w:pPr>
                          <w:r>
                            <w:rPr>
                              <w:rFonts w:hint="eastAsia" w:ascii="宋体" w:hAnsi="宋体" w:eastAsia="宋体" w:cs="宋体"/>
                              <w:sz w:val="28"/>
                            </w:rPr>
                            <w:t>－</w:t>
                          </w:r>
                          <w:r>
                            <w:rPr>
                              <w:rFonts w:hint="default" w:ascii="Times New Roman" w:hAnsi="Times New Roman" w:eastAsia="宋体" w:cs="Times New Roman"/>
                              <w:sz w:val="28"/>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Arabic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3</w:t>
                          </w:r>
                          <w:r>
                            <w:rPr>
                              <w:rFonts w:hint="default" w:ascii="Times New Roman" w:hAnsi="Times New Roman" w:eastAsia="宋体" w:cs="Times New Roman"/>
                              <w:sz w:val="28"/>
                            </w:rPr>
                            <w:fldChar w:fldCharType="end"/>
                          </w:r>
                          <w:r>
                            <w:rPr>
                              <w:rFonts w:hint="default" w:ascii="Times New Roman" w:hAnsi="Times New Roman" w:eastAsia="宋体" w:cs="Times New Roman"/>
                              <w:sz w:val="28"/>
                            </w:rPr>
                            <w:t xml:space="preserve"> </w:t>
                          </w:r>
                          <w:r>
                            <w:rPr>
                              <w:rFonts w:hint="eastAsia" w:ascii="宋体" w:hAnsi="宋体" w:eastAsia="宋体" w:cs="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5"/>
                      <w:ind w:right="320" w:rightChars="100" w:firstLine="560"/>
                      <w:jc w:val="right"/>
                    </w:pPr>
                    <w:r>
                      <w:rPr>
                        <w:rFonts w:hint="eastAsia" w:ascii="宋体" w:hAnsi="宋体" w:eastAsia="宋体" w:cs="宋体"/>
                        <w:sz w:val="28"/>
                      </w:rPr>
                      <w:t>－</w:t>
                    </w:r>
                    <w:r>
                      <w:rPr>
                        <w:rFonts w:hint="default" w:ascii="Times New Roman" w:hAnsi="Times New Roman" w:eastAsia="宋体" w:cs="Times New Roman"/>
                        <w:sz w:val="28"/>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Arabic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3</w:t>
                    </w:r>
                    <w:r>
                      <w:rPr>
                        <w:rFonts w:hint="default" w:ascii="Times New Roman" w:hAnsi="Times New Roman" w:eastAsia="宋体" w:cs="Times New Roman"/>
                        <w:sz w:val="28"/>
                      </w:rPr>
                      <w:fldChar w:fldCharType="end"/>
                    </w:r>
                    <w:r>
                      <w:rPr>
                        <w:rFonts w:hint="default" w:ascii="Times New Roman" w:hAnsi="Times New Roman" w:eastAsia="宋体" w:cs="Times New Roman"/>
                        <w:sz w:val="28"/>
                      </w:rPr>
                      <w:t xml:space="preserve"> </w:t>
                    </w:r>
                    <w:r>
                      <w:rPr>
                        <w:rFonts w:hint="eastAsia" w:ascii="宋体" w:hAnsi="宋体" w:eastAsia="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left="0" w:leftChars="0" w:firstLine="0" w:firstLineChars="0"/>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5"/>
                      <w:ind w:left="0" w:leftChars="0" w:firstLine="0" w:firstLineChars="0"/>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32"/>
      </w:pPr>
      <w:r>
        <w:separator/>
      </w:r>
    </w:p>
  </w:footnote>
  <w:footnote w:type="continuationSeparator" w:id="1">
    <w:p>
      <w:pPr>
        <w:spacing w:before="0" w:after="0"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6D73B6"/>
    <w:rsid w:val="1B0B67CC"/>
    <w:rsid w:val="202C74B6"/>
    <w:rsid w:val="23622E2E"/>
    <w:rsid w:val="279F77E7"/>
    <w:rsid w:val="2D7C1406"/>
    <w:rsid w:val="2EE74FC6"/>
    <w:rsid w:val="2FDF2B22"/>
    <w:rsid w:val="31456D6E"/>
    <w:rsid w:val="346E9CC9"/>
    <w:rsid w:val="357F59E6"/>
    <w:rsid w:val="3ABE3508"/>
    <w:rsid w:val="3B75AFF9"/>
    <w:rsid w:val="3BF7A19C"/>
    <w:rsid w:val="3D6ED400"/>
    <w:rsid w:val="40F119D0"/>
    <w:rsid w:val="43BD30A9"/>
    <w:rsid w:val="4C4E6DE4"/>
    <w:rsid w:val="4D5E5C77"/>
    <w:rsid w:val="5D7E492D"/>
    <w:rsid w:val="62FD7BDA"/>
    <w:rsid w:val="68438651"/>
    <w:rsid w:val="6946402E"/>
    <w:rsid w:val="697D7CBC"/>
    <w:rsid w:val="6E6D6C88"/>
    <w:rsid w:val="70823D72"/>
    <w:rsid w:val="72E5625C"/>
    <w:rsid w:val="72FF422F"/>
    <w:rsid w:val="73AD128C"/>
    <w:rsid w:val="73EBF955"/>
    <w:rsid w:val="75FFAA1B"/>
    <w:rsid w:val="76BDCDF1"/>
    <w:rsid w:val="7AC76718"/>
    <w:rsid w:val="7BFFF9F3"/>
    <w:rsid w:val="7CFD5A72"/>
    <w:rsid w:val="7DDDC8FC"/>
    <w:rsid w:val="7DED9DC6"/>
    <w:rsid w:val="7E7F8250"/>
    <w:rsid w:val="7EAD4B8B"/>
    <w:rsid w:val="7EFB0053"/>
    <w:rsid w:val="7F9062FE"/>
    <w:rsid w:val="7FAB3234"/>
    <w:rsid w:val="7FBF90DD"/>
    <w:rsid w:val="7FBFC911"/>
    <w:rsid w:val="7FDB62E8"/>
    <w:rsid w:val="B7FAB9C1"/>
    <w:rsid w:val="BDFB6E54"/>
    <w:rsid w:val="C5DB9443"/>
    <w:rsid w:val="CFE98152"/>
    <w:rsid w:val="D1B805F8"/>
    <w:rsid w:val="E7EE8AFB"/>
    <w:rsid w:val="E97F4673"/>
    <w:rsid w:val="EA2EB73B"/>
    <w:rsid w:val="EA979CB4"/>
    <w:rsid w:val="EB79E553"/>
    <w:rsid w:val="EE7F1D23"/>
    <w:rsid w:val="EEFF1A9B"/>
    <w:rsid w:val="EFFFC9EC"/>
    <w:rsid w:val="F2B75448"/>
    <w:rsid w:val="F38EC98D"/>
    <w:rsid w:val="F77BE219"/>
    <w:rsid w:val="F7AE4228"/>
    <w:rsid w:val="F925817F"/>
    <w:rsid w:val="F98BE5B9"/>
    <w:rsid w:val="FBBF5C91"/>
    <w:rsid w:val="FD5F2E96"/>
    <w:rsid w:val="FE8F57D4"/>
    <w:rsid w:val="FF4FD9B2"/>
    <w:rsid w:val="FF7B0D50"/>
    <w:rsid w:val="FFBF0F5F"/>
    <w:rsid w:val="FFEEB136"/>
    <w:rsid w:val="FFF4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20" w:lineRule="exact"/>
      <w:ind w:firstLine="880" w:firstLineChars="200"/>
      <w:jc w:val="both"/>
    </w:pPr>
    <w:rPr>
      <w:rFonts w:ascii="Times New Roman" w:hAnsi="Times New Roman" w:eastAsia="方正仿宋_GBK" w:cs="Times New Roman"/>
      <w:kern w:val="2"/>
      <w:sz w:val="32"/>
      <w:lang w:val="en-US" w:eastAsia="zh-CN" w:bidi="ar-SA"/>
    </w:rPr>
  </w:style>
  <w:style w:type="paragraph" w:styleId="3">
    <w:name w:val="heading 1"/>
    <w:basedOn w:val="4"/>
    <w:next w:val="1"/>
    <w:qFormat/>
    <w:uiPriority w:val="0"/>
    <w:pPr>
      <w:spacing w:beforeAutospacing="1" w:afterAutospacing="1"/>
    </w:pPr>
    <w:rPr>
      <w:rFonts w:hint="eastAsia" w:ascii="宋体" w:hAnsi="宋体" w:eastAsia="方正小标宋简体"/>
      <w:b w:val="0"/>
      <w:kern w:val="44"/>
      <w:sz w:val="44"/>
      <w:szCs w:val="48"/>
    </w:rPr>
  </w:style>
  <w:style w:type="paragraph" w:styleId="5">
    <w:name w:val="heading 2"/>
    <w:basedOn w:val="1"/>
    <w:next w:val="1"/>
    <w:link w:val="32"/>
    <w:qFormat/>
    <w:uiPriority w:val="0"/>
    <w:pPr>
      <w:keepNext/>
      <w:keepLines/>
      <w:spacing w:before="260" w:after="260" w:line="416" w:lineRule="auto"/>
      <w:outlineLvl w:val="1"/>
    </w:pPr>
    <w:rPr>
      <w:rFonts w:ascii="等线 Light" w:hAnsi="等线 Light" w:eastAsia="黑体"/>
      <w:b/>
      <w:bCs/>
      <w:szCs w:val="32"/>
    </w:rPr>
  </w:style>
  <w:style w:type="paragraph" w:styleId="6">
    <w:name w:val="heading 3"/>
    <w:basedOn w:val="1"/>
    <w:next w:val="1"/>
    <w:qFormat/>
    <w:uiPriority w:val="0"/>
    <w:pPr>
      <w:keepNext/>
      <w:keepLines/>
      <w:spacing w:before="260" w:after="260" w:line="413" w:lineRule="auto"/>
      <w:jc w:val="left"/>
      <w:outlineLvl w:val="2"/>
    </w:pPr>
    <w:rPr>
      <w:rFonts w:eastAsia="楷体"/>
    </w:rPr>
  </w:style>
  <w:style w:type="paragraph" w:styleId="7">
    <w:name w:val="heading 4"/>
    <w:basedOn w:val="1"/>
    <w:next w:val="1"/>
    <w:qFormat/>
    <w:uiPriority w:val="0"/>
    <w:pPr>
      <w:keepNext/>
      <w:keepLines/>
      <w:spacing w:before="280" w:after="290" w:line="372" w:lineRule="auto"/>
      <w:outlineLvl w:val="3"/>
    </w:pPr>
    <w:rPr>
      <w:rFonts w:ascii="Arial" w:hAnsi="Arial" w:eastAsia="仿宋"/>
      <w:b/>
    </w:rPr>
  </w:style>
  <w:style w:type="character" w:default="1" w:styleId="25">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Title"/>
    <w:basedOn w:val="1"/>
    <w:qFormat/>
    <w:uiPriority w:val="0"/>
    <w:pPr>
      <w:spacing w:before="240" w:after="60"/>
      <w:jc w:val="center"/>
      <w:outlineLvl w:val="0"/>
    </w:pPr>
    <w:rPr>
      <w:rFonts w:ascii="Arial" w:hAnsi="Arial"/>
      <w:b/>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rPr>
      <w:szCs w:val="24"/>
    </w:rPr>
  </w:style>
  <w:style w:type="paragraph" w:styleId="11">
    <w:name w:val="Block Text"/>
    <w:basedOn w:val="1"/>
    <w:qFormat/>
    <w:uiPriority w:val="0"/>
    <w:pPr>
      <w:spacing w:line="640" w:lineRule="exact"/>
      <w:ind w:left="210" w:leftChars="100" w:right="19" w:firstLine="525"/>
    </w:pPr>
    <w:rPr>
      <w:rFonts w:ascii="楷体_GB2312" w:eastAsia="楷体_GB2312"/>
      <w:b/>
      <w:spacing w:val="14"/>
      <w:sz w:val="28"/>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qFormat/>
    <w:uiPriority w:val="0"/>
    <w:pPr>
      <w:spacing w:after="120" w:line="480" w:lineRule="auto"/>
      <w:ind w:left="420" w:leftChars="200"/>
    </w:pPr>
  </w:style>
  <w:style w:type="paragraph" w:styleId="14">
    <w:name w:val="endnote text"/>
    <w:basedOn w:val="1"/>
    <w:next w:val="9"/>
    <w:qFormat/>
    <w:uiPriority w:val="0"/>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7"/>
    <w:qFormat/>
    <w:uiPriority w:val="0"/>
    <w:pPr>
      <w:tabs>
        <w:tab w:val="center" w:pos="4153"/>
        <w:tab w:val="right" w:pos="8306"/>
      </w:tabs>
      <w:snapToGrid w:val="0"/>
      <w:jc w:val="center"/>
    </w:pPr>
    <w:rPr>
      <w:sz w:val="18"/>
      <w:szCs w:val="18"/>
    </w:rPr>
  </w:style>
  <w:style w:type="paragraph" w:customStyle="1" w:styleId="17">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pPr>
      <w:spacing w:after="120" w:line="480" w:lineRule="auto"/>
    </w:pPr>
    <w:rPr>
      <w:rFonts w:eastAsia="宋体"/>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22"/>
    <w:qFormat/>
    <w:uiPriority w:val="0"/>
    <w:pPr>
      <w:ind w:firstLine="420" w:firstLineChars="200"/>
    </w:pPr>
  </w:style>
  <w:style w:type="paragraph" w:customStyle="1" w:styleId="22">
    <w:name w:val="正文缩进1"/>
    <w:basedOn w:val="23"/>
    <w:qFormat/>
    <w:uiPriority w:val="0"/>
    <w:pPr>
      <w:spacing w:after="120"/>
      <w:ind w:left="420" w:leftChars="200"/>
    </w:pPr>
  </w:style>
  <w:style w:type="paragraph" w:customStyle="1" w:styleId="23">
    <w:name w:val="正文1"/>
    <w:next w:val="2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styleId="26">
    <w:name w:val="Strong"/>
    <w:basedOn w:val="25"/>
    <w:qFormat/>
    <w:uiPriority w:val="99"/>
    <w:rPr>
      <w:b/>
      <w:bCs/>
    </w:rPr>
  </w:style>
  <w:style w:type="character" w:styleId="27">
    <w:name w:val="page number"/>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0"/>
    <w:rPr>
      <w:color w:val="0000FF"/>
      <w:u w:val="single"/>
    </w:rPr>
  </w:style>
  <w:style w:type="paragraph" w:customStyle="1" w:styleId="30">
    <w:name w:val="样式 文字 + 首行缩进:  2 字符3"/>
    <w:basedOn w:val="1"/>
    <w:qFormat/>
    <w:uiPriority w:val="0"/>
    <w:pPr>
      <w:spacing w:line="360" w:lineRule="auto"/>
      <w:jc w:val="left"/>
    </w:pPr>
    <w:rPr>
      <w:sz w:val="28"/>
      <w:szCs w:val="28"/>
    </w:rPr>
  </w:style>
  <w:style w:type="paragraph" w:customStyle="1" w:styleId="31">
    <w:name w:val="TOC2"/>
    <w:basedOn w:val="1"/>
    <w:next w:val="1"/>
    <w:qFormat/>
    <w:uiPriority w:val="0"/>
    <w:pPr>
      <w:ind w:left="420" w:leftChars="200"/>
      <w:textAlignment w:val="baseline"/>
    </w:pPr>
  </w:style>
  <w:style w:type="character" w:customStyle="1" w:styleId="32">
    <w:name w:val="标题 2 字符"/>
    <w:link w:val="5"/>
    <w:qFormat/>
    <w:uiPriority w:val="0"/>
    <w:rPr>
      <w:rFonts w:ascii="等线 Light" w:hAnsi="等线 Light" w:eastAsia="黑体"/>
      <w:b/>
      <w:bCs/>
      <w:szCs w:val="32"/>
    </w:rPr>
  </w:style>
  <w:style w:type="paragraph" w:customStyle="1" w:styleId="33">
    <w:name w:val="BodyText"/>
    <w:basedOn w:val="1"/>
    <w:next w:val="1"/>
    <w:qFormat/>
    <w:uiPriority w:val="0"/>
    <w:pPr>
      <w:widowControl/>
      <w:spacing w:line="360" w:lineRule="auto"/>
      <w:ind w:firstLine="936"/>
      <w:jc w:val="left"/>
      <w:textAlignment w:val="baseline"/>
    </w:pPr>
    <w:rPr>
      <w:rFonts w:eastAsia="仿宋_GB2312"/>
      <w:sz w:val="28"/>
      <w:szCs w:val="24"/>
    </w:rPr>
  </w:style>
  <w:style w:type="paragraph" w:customStyle="1" w:styleId="34">
    <w:name w:val="正文首行缩进1"/>
    <w:basedOn w:val="9"/>
    <w:qFormat/>
    <w:uiPriority w:val="0"/>
    <w:pPr>
      <w:ind w:firstLine="420" w:firstLineChars="100"/>
    </w:pPr>
  </w:style>
  <w:style w:type="paragraph" w:customStyle="1" w:styleId="35">
    <w:name w:val="null3"/>
    <w:qFormat/>
    <w:uiPriority w:val="0"/>
    <w:pPr>
      <w:spacing w:after="160" w:line="278" w:lineRule="auto"/>
    </w:pPr>
    <w:rPr>
      <w:rFonts w:hint="eastAsia" w:ascii="Calibri" w:hAnsi="Calibri" w:eastAsia="宋体" w:cs="宋体"/>
      <w:lang w:val="en-US" w:bidi="ar-SA"/>
    </w:rPr>
  </w:style>
  <w:style w:type="character" w:customStyle="1" w:styleId="36">
    <w:name w:val="font112"/>
    <w:basedOn w:val="25"/>
    <w:qFormat/>
    <w:uiPriority w:val="0"/>
    <w:rPr>
      <w:rFonts w:ascii="方正书宋_GBK" w:hAnsi="方正书宋_GBK" w:eastAsia="方正书宋_GBK" w:cs="方正书宋_GBK"/>
      <w:color w:val="000000"/>
      <w:sz w:val="18"/>
      <w:szCs w:val="18"/>
      <w:u w:val="none"/>
    </w:rPr>
  </w:style>
  <w:style w:type="character" w:customStyle="1" w:styleId="37">
    <w:name w:val="font41"/>
    <w:basedOn w:val="2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1469</Words>
  <Characters>1510</Characters>
  <Paragraphs>41</Paragraphs>
  <TotalTime>24</TotalTime>
  <ScaleCrop>false</ScaleCrop>
  <LinksUpToDate>false</LinksUpToDate>
  <CharactersWithSpaces>1510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2025-11-06T14:45:00Z</dcterms:created>
  <dc:creator>LCT</dc:creator>
  <cp:lastModifiedBy>greatwall</cp:lastModifiedBy>
  <cp:lastPrinted>2026-03-30T19:34:00Z</cp:lastPrinted>
  <dcterms:modified xsi:type="dcterms:W3CDTF">2026-03-31T14:52:48Z</dcterms:modified>
  <dc:title>办文说明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340E7A7871CD49DAB7C2587854EEE9D7_13</vt:lpwstr>
  </property>
  <property fmtid="{D5CDD505-2E9C-101B-9397-08002B2CF9AE}" pid="4" name="KSOTemplateDocerSaveRecord">
    <vt:lpwstr>eyJoZGlkIjoiZTI5N2IzNjFjZjE3Yjk4OThkNWQ0ZTFiZDZiYjZiMTciLCJ1c2VySWQiOiIxNTg4MTM4Nzk4In0=</vt:lpwstr>
  </property>
</Properties>
</file>